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43" w:rsidRPr="00AA0643" w:rsidRDefault="00AA0643" w:rsidP="00AA0643">
      <w:pPr>
        <w:pStyle w:val="1"/>
        <w:jc w:val="both"/>
        <w:rPr>
          <w:rFonts w:asciiTheme="minorEastAsia" w:hAnsiTheme="minorEastAsia" w:hint="eastAsia"/>
          <w:b w:val="0"/>
        </w:rPr>
      </w:pPr>
      <w:bookmarkStart w:id="0" w:name="_Toc492318304"/>
      <w:bookmarkStart w:id="1" w:name="_Toc492318178"/>
      <w:r w:rsidRPr="00AA0643">
        <w:rPr>
          <w:rFonts w:asciiTheme="minorEastAsia" w:hAnsiTheme="minorEastAsia" w:hint="eastAsia"/>
          <w:b w:val="0"/>
        </w:rPr>
        <w:t>附件3：</w:t>
      </w:r>
    </w:p>
    <w:p w:rsidR="006E5DC9" w:rsidRDefault="003E7956" w:rsidP="00AA0643">
      <w:pPr>
        <w:pStyle w:val="1"/>
      </w:pPr>
      <w:r>
        <w:rPr>
          <w:rFonts w:hint="eastAsia"/>
        </w:rPr>
        <w:t>司法行政（法律服务）案例库</w:t>
      </w:r>
    </w:p>
    <w:p w:rsidR="006E5DC9" w:rsidRDefault="003E7956" w:rsidP="00AA0643">
      <w:pPr>
        <w:pStyle w:val="1"/>
      </w:pPr>
      <w:r>
        <w:rPr>
          <w:rFonts w:hint="eastAsia"/>
        </w:rPr>
        <w:t>律师行业案例模板</w:t>
      </w:r>
      <w:bookmarkEnd w:id="0"/>
      <w:bookmarkEnd w:id="1"/>
    </w:p>
    <w:p w:rsidR="006E5DC9" w:rsidRDefault="006E5DC9">
      <w:pPr>
        <w:rPr>
          <w:rFonts w:ascii="黑体" w:eastAsia="黑体" w:hAnsi="黑体"/>
          <w:sz w:val="36"/>
          <w:szCs w:val="36"/>
        </w:rPr>
      </w:pPr>
    </w:p>
    <w:p w:rsidR="006E5DC9" w:rsidRDefault="003E7956">
      <w:pPr>
        <w:rPr>
          <w:rFonts w:ascii="黑体" w:eastAsia="黑体" w:hAnsi="黑体"/>
          <w:sz w:val="36"/>
          <w:szCs w:val="36"/>
        </w:rPr>
      </w:pPr>
      <w:r>
        <w:rPr>
          <w:rFonts w:ascii="黑体" w:eastAsia="黑体" w:hAnsi="黑体" w:hint="eastAsia"/>
          <w:sz w:val="36"/>
          <w:szCs w:val="36"/>
        </w:rPr>
        <w:t>1.律师诉讼案例模板</w:t>
      </w:r>
    </w:p>
    <w:p w:rsidR="006E5DC9" w:rsidRDefault="003E7956">
      <w:pPr>
        <w:widowControl/>
        <w:spacing w:line="600" w:lineRule="exact"/>
        <w:ind w:firstLineChars="200" w:firstLine="640"/>
        <w:jc w:val="left"/>
        <w:rPr>
          <w:rFonts w:ascii="黑体" w:eastAsia="黑体" w:hAnsi="黑体" w:cs="Arial"/>
          <w:sz w:val="32"/>
          <w:szCs w:val="32"/>
        </w:rPr>
      </w:pPr>
      <w:r>
        <w:rPr>
          <w:rFonts w:ascii="黑体" w:eastAsia="黑体" w:hAnsi="黑体" w:cs="Arial" w:hint="eastAsia"/>
          <w:sz w:val="32"/>
          <w:szCs w:val="32"/>
        </w:rPr>
        <w:t>一、案例基本信息采集</w:t>
      </w:r>
    </w:p>
    <w:p w:rsidR="006E5DC9" w:rsidRDefault="003E7956">
      <w:pPr>
        <w:widowControl/>
        <w:spacing w:line="600" w:lineRule="exact"/>
        <w:ind w:firstLineChars="200" w:firstLine="640"/>
        <w:jc w:val="left"/>
        <w:rPr>
          <w:rFonts w:ascii="仿宋" w:eastAsia="仿宋" w:hAnsi="仿宋" w:cs="Arial"/>
          <w:sz w:val="32"/>
          <w:szCs w:val="32"/>
          <w:u w:val="single"/>
        </w:rPr>
      </w:pPr>
      <w:r>
        <w:rPr>
          <w:rFonts w:ascii="仿宋" w:eastAsia="仿宋" w:hAnsi="仿宋" w:cs="Arial" w:hint="eastAsia"/>
          <w:sz w:val="32"/>
          <w:szCs w:val="32"/>
        </w:rPr>
        <w:t>案例类型：</w:t>
      </w:r>
      <w:r>
        <w:rPr>
          <w:rFonts w:ascii="仿宋" w:eastAsia="仿宋" w:hAnsi="仿宋" w:cs="Arial" w:hint="eastAsia"/>
          <w:sz w:val="32"/>
          <w:szCs w:val="32"/>
          <w:u w:val="single"/>
        </w:rPr>
        <w:t xml:space="preserve">律师诉讼案例                         </w:t>
      </w:r>
    </w:p>
    <w:p w:rsidR="006E5DC9" w:rsidRDefault="003E7956">
      <w:pPr>
        <w:widowControl/>
        <w:spacing w:line="600" w:lineRule="exact"/>
        <w:ind w:firstLineChars="200" w:firstLine="640"/>
        <w:jc w:val="left"/>
        <w:rPr>
          <w:rFonts w:ascii="仿宋" w:eastAsia="仿宋" w:hAnsi="仿宋" w:cs="Arial"/>
          <w:sz w:val="32"/>
          <w:szCs w:val="32"/>
          <w:u w:val="single"/>
        </w:rPr>
      </w:pPr>
      <w:r>
        <w:rPr>
          <w:rFonts w:ascii="仿宋" w:eastAsia="仿宋" w:hAnsi="仿宋" w:cs="Arial" w:hint="eastAsia"/>
          <w:sz w:val="32"/>
          <w:szCs w:val="32"/>
        </w:rPr>
        <w:t>业务类型：</w:t>
      </w:r>
      <w:r>
        <w:rPr>
          <w:rFonts w:ascii="仿宋" w:eastAsia="仿宋" w:hAnsi="仿宋" w:cs="Arial" w:hint="eastAsia"/>
          <w:sz w:val="32"/>
          <w:szCs w:val="32"/>
          <w:u w:val="single"/>
        </w:rPr>
        <w:t xml:space="preserve">公司诉讼                             </w:t>
      </w:r>
    </w:p>
    <w:p w:rsidR="006E5DC9" w:rsidRDefault="003E7956">
      <w:pPr>
        <w:widowControl/>
        <w:spacing w:line="600" w:lineRule="exact"/>
        <w:ind w:firstLineChars="200" w:firstLine="640"/>
        <w:jc w:val="left"/>
        <w:rPr>
          <w:rFonts w:ascii="仿宋" w:eastAsia="仿宋" w:hAnsi="仿宋" w:cs="Arial"/>
          <w:sz w:val="32"/>
          <w:szCs w:val="32"/>
        </w:rPr>
      </w:pPr>
      <w:r>
        <w:rPr>
          <w:rFonts w:ascii="仿宋" w:eastAsia="仿宋" w:hAnsi="仿宋" w:cs="Arial" w:hint="eastAsia"/>
          <w:sz w:val="32"/>
          <w:szCs w:val="32"/>
        </w:rPr>
        <w:t>法院判决时间：</w:t>
      </w:r>
      <w:r>
        <w:rPr>
          <w:rFonts w:ascii="仿宋" w:eastAsia="仿宋" w:hAnsi="仿宋" w:cs="Arial" w:hint="eastAsia"/>
          <w:sz w:val="32"/>
          <w:szCs w:val="32"/>
          <w:u w:val="single"/>
        </w:rPr>
        <w:t xml:space="preserve">2017年5月25日                  </w:t>
      </w:r>
    </w:p>
    <w:p w:rsidR="006E5DC9" w:rsidRDefault="003E7956">
      <w:pPr>
        <w:widowControl/>
        <w:spacing w:line="600" w:lineRule="exact"/>
        <w:ind w:firstLineChars="200" w:firstLine="640"/>
        <w:jc w:val="left"/>
        <w:rPr>
          <w:rFonts w:ascii="仿宋" w:eastAsia="仿宋" w:hAnsi="仿宋" w:cs="Arial"/>
          <w:sz w:val="32"/>
          <w:szCs w:val="32"/>
        </w:rPr>
      </w:pPr>
      <w:r>
        <w:rPr>
          <w:rFonts w:ascii="仿宋" w:eastAsia="仿宋" w:hAnsi="仿宋" w:cs="Arial" w:hint="eastAsia"/>
          <w:sz w:val="32"/>
          <w:szCs w:val="32"/>
        </w:rPr>
        <w:t>法院名称：</w:t>
      </w:r>
      <w:r>
        <w:rPr>
          <w:rFonts w:ascii="仿宋" w:eastAsia="仿宋" w:hAnsi="仿宋" w:cs="Arial" w:hint="eastAsia"/>
          <w:sz w:val="32"/>
          <w:szCs w:val="32"/>
          <w:u w:val="single"/>
        </w:rPr>
        <w:t xml:space="preserve">南京市中级人民法院                    </w:t>
      </w:r>
    </w:p>
    <w:p w:rsidR="006E5DC9" w:rsidRDefault="003E7956">
      <w:pPr>
        <w:widowControl/>
        <w:spacing w:line="600" w:lineRule="exact"/>
        <w:ind w:firstLineChars="200" w:firstLine="640"/>
        <w:jc w:val="left"/>
        <w:rPr>
          <w:rFonts w:ascii="仿宋" w:eastAsia="仿宋" w:hAnsi="仿宋" w:cs="Arial"/>
          <w:sz w:val="32"/>
          <w:szCs w:val="32"/>
        </w:rPr>
      </w:pPr>
      <w:r>
        <w:rPr>
          <w:rFonts w:ascii="仿宋" w:eastAsia="仿宋" w:hAnsi="仿宋" w:cs="Arial" w:hint="eastAsia"/>
          <w:sz w:val="32"/>
          <w:szCs w:val="32"/>
        </w:rPr>
        <w:t>代理律师姓名：</w:t>
      </w:r>
      <w:r>
        <w:rPr>
          <w:rFonts w:ascii="仿宋" w:eastAsia="仿宋" w:hAnsi="仿宋" w:cs="Arial" w:hint="eastAsia"/>
          <w:sz w:val="32"/>
          <w:szCs w:val="32"/>
          <w:u w:val="single"/>
        </w:rPr>
        <w:t xml:space="preserve">张保生、何春艳                    </w:t>
      </w:r>
      <w:r>
        <w:rPr>
          <w:rFonts w:ascii="仿宋" w:eastAsia="仿宋" w:hAnsi="仿宋" w:cs="Arial" w:hint="eastAsia"/>
          <w:sz w:val="32"/>
          <w:szCs w:val="32"/>
        </w:rPr>
        <w:t xml:space="preserve"> </w:t>
      </w:r>
    </w:p>
    <w:p w:rsidR="006E5DC9" w:rsidRDefault="003E7956">
      <w:pPr>
        <w:widowControl/>
        <w:spacing w:line="600" w:lineRule="exact"/>
        <w:ind w:firstLineChars="200" w:firstLine="640"/>
        <w:jc w:val="left"/>
        <w:rPr>
          <w:rFonts w:ascii="仿宋" w:eastAsia="仿宋" w:hAnsi="仿宋" w:cs="Arial"/>
          <w:sz w:val="32"/>
          <w:szCs w:val="32"/>
        </w:rPr>
      </w:pPr>
      <w:r>
        <w:rPr>
          <w:rFonts w:ascii="仿宋" w:eastAsia="仿宋" w:hAnsi="仿宋" w:cs="Arial" w:hint="eastAsia"/>
          <w:sz w:val="32"/>
          <w:szCs w:val="32"/>
        </w:rPr>
        <w:t>律师事务所名称：</w:t>
      </w:r>
      <w:r>
        <w:rPr>
          <w:rFonts w:ascii="仿宋" w:eastAsia="仿宋" w:hAnsi="仿宋" w:cs="Arial" w:hint="eastAsia"/>
          <w:sz w:val="32"/>
          <w:szCs w:val="32"/>
          <w:u w:val="single"/>
        </w:rPr>
        <w:t xml:space="preserve">北京市金杜律师事务所            </w:t>
      </w:r>
    </w:p>
    <w:p w:rsidR="006E5DC9" w:rsidRDefault="003E7956">
      <w:pPr>
        <w:widowControl/>
        <w:spacing w:line="600" w:lineRule="exact"/>
        <w:ind w:firstLineChars="200" w:firstLine="640"/>
        <w:jc w:val="left"/>
        <w:rPr>
          <w:rFonts w:ascii="仿宋" w:eastAsia="仿宋" w:hAnsi="仿宋" w:cs="Arial"/>
          <w:sz w:val="32"/>
          <w:szCs w:val="32"/>
          <w:u w:val="single"/>
        </w:rPr>
      </w:pPr>
      <w:r>
        <w:rPr>
          <w:rFonts w:ascii="仿宋" w:eastAsia="仿宋" w:hAnsi="仿宋" w:hint="eastAsia"/>
          <w:sz w:val="32"/>
          <w:szCs w:val="32"/>
        </w:rPr>
        <w:t>供</w:t>
      </w:r>
      <w:r>
        <w:rPr>
          <w:rFonts w:ascii="仿宋" w:eastAsia="仿宋" w:hAnsi="仿宋"/>
          <w:sz w:val="32"/>
          <w:szCs w:val="32"/>
        </w:rPr>
        <w:t>稿</w:t>
      </w:r>
      <w:r>
        <w:rPr>
          <w:rFonts w:ascii="仿宋_GB2312" w:eastAsia="仿宋_GB2312" w:hAnsi="黑体" w:hint="eastAsia"/>
          <w:sz w:val="32"/>
          <w:szCs w:val="32"/>
        </w:rPr>
        <w:t>（实名，单位+姓名）</w:t>
      </w:r>
      <w:r>
        <w:rPr>
          <w:rFonts w:ascii="仿宋" w:eastAsia="仿宋" w:hAnsi="仿宋" w:cs="Arial" w:hint="eastAsia"/>
          <w:sz w:val="32"/>
          <w:szCs w:val="32"/>
        </w:rPr>
        <w:t>：</w:t>
      </w:r>
      <w:r>
        <w:rPr>
          <w:rFonts w:ascii="仿宋" w:eastAsia="仿宋" w:hAnsi="仿宋" w:cs="Arial" w:hint="eastAsia"/>
          <w:sz w:val="32"/>
          <w:szCs w:val="32"/>
          <w:u w:val="single"/>
        </w:rPr>
        <w:t>中华全国律师协会公司法专</w:t>
      </w:r>
    </w:p>
    <w:p w:rsidR="006E5DC9" w:rsidRDefault="003E7956">
      <w:pPr>
        <w:widowControl/>
        <w:spacing w:line="600" w:lineRule="exact"/>
        <w:ind w:firstLineChars="1400" w:firstLine="4480"/>
        <w:jc w:val="left"/>
        <w:rPr>
          <w:rFonts w:ascii="仿宋" w:eastAsia="仿宋" w:hAnsi="仿宋" w:cs="Arial"/>
          <w:sz w:val="32"/>
          <w:szCs w:val="32"/>
          <w:u w:val="single"/>
        </w:rPr>
      </w:pPr>
      <w:r>
        <w:rPr>
          <w:rFonts w:ascii="仿宋" w:eastAsia="仿宋" w:hAnsi="仿宋" w:cs="Arial" w:hint="eastAsia"/>
          <w:sz w:val="32"/>
          <w:szCs w:val="32"/>
          <w:u w:val="single"/>
        </w:rPr>
        <w:t>业委员会</w:t>
      </w:r>
    </w:p>
    <w:p w:rsidR="006E5DC9" w:rsidRDefault="003E7956">
      <w:pPr>
        <w:pStyle w:val="11"/>
        <w:spacing w:line="600" w:lineRule="exact"/>
        <w:ind w:left="720" w:firstLineChars="0" w:firstLine="0"/>
        <w:jc w:val="left"/>
        <w:rPr>
          <w:rFonts w:ascii="仿宋_GB2312" w:eastAsia="仿宋_GB2312" w:hAnsi="黑体"/>
          <w:sz w:val="32"/>
          <w:szCs w:val="32"/>
        </w:rPr>
      </w:pPr>
      <w:r>
        <w:rPr>
          <w:rFonts w:ascii="仿宋_GB2312" w:eastAsia="仿宋_GB2312" w:hAnsi="黑体" w:hint="eastAsia"/>
          <w:sz w:val="32"/>
          <w:szCs w:val="32"/>
        </w:rPr>
        <w:t>审稿（实名，逐级）：</w:t>
      </w:r>
      <w:r>
        <w:rPr>
          <w:rFonts w:ascii="仿宋_GB2312" w:eastAsia="仿宋_GB2312" w:hAnsi="黑体" w:hint="eastAsia"/>
          <w:sz w:val="32"/>
          <w:szCs w:val="32"/>
          <w:u w:val="single"/>
        </w:rPr>
        <w:t xml:space="preserve">                             </w:t>
      </w:r>
    </w:p>
    <w:p w:rsidR="006E5DC9" w:rsidRDefault="003E7956">
      <w:pPr>
        <w:spacing w:line="600" w:lineRule="exact"/>
        <w:ind w:firstLineChars="200" w:firstLine="640"/>
        <w:rPr>
          <w:rFonts w:ascii="仿宋" w:eastAsia="仿宋" w:hAnsi="仿宋" w:cs="Arial"/>
          <w:sz w:val="32"/>
          <w:szCs w:val="32"/>
          <w:u w:val="single"/>
        </w:rPr>
      </w:pPr>
      <w:r>
        <w:rPr>
          <w:rFonts w:ascii="仿宋" w:eastAsia="仿宋" w:hAnsi="仿宋" w:hint="eastAsia"/>
          <w:sz w:val="32"/>
          <w:szCs w:val="32"/>
        </w:rPr>
        <w:t>检索主题词：</w:t>
      </w:r>
      <w:r>
        <w:rPr>
          <w:rFonts w:ascii="仿宋" w:eastAsia="仿宋" w:hAnsi="仿宋" w:cs="Arial" w:hint="eastAsia"/>
          <w:sz w:val="32"/>
          <w:szCs w:val="32"/>
          <w:u w:val="single"/>
        </w:rPr>
        <w:t>公司决议  召集程序  决议内容 撤销期限</w:t>
      </w:r>
    </w:p>
    <w:p w:rsidR="006E5DC9" w:rsidRDefault="003E7956">
      <w:pPr>
        <w:widowControl/>
        <w:spacing w:line="600" w:lineRule="exact"/>
        <w:ind w:firstLineChars="200" w:firstLine="643"/>
        <w:jc w:val="left"/>
        <w:rPr>
          <w:rFonts w:ascii="楷体" w:eastAsia="楷体" w:hAnsi="楷体" w:cs="Arial"/>
          <w:b/>
          <w:sz w:val="32"/>
          <w:szCs w:val="32"/>
        </w:rPr>
      </w:pPr>
      <w:r>
        <w:rPr>
          <w:rFonts w:ascii="楷体" w:eastAsia="楷体" w:hAnsi="楷体" w:cs="Arial" w:hint="eastAsia"/>
          <w:b/>
          <w:sz w:val="32"/>
          <w:szCs w:val="32"/>
        </w:rPr>
        <w:t>二、案例正文采集</w:t>
      </w:r>
    </w:p>
    <w:p w:rsidR="006E5DC9" w:rsidRDefault="003E7956" w:rsidP="00AA0643">
      <w:pPr>
        <w:spacing w:afterLines="50" w:line="600" w:lineRule="exact"/>
        <w:jc w:val="center"/>
        <w:rPr>
          <w:rFonts w:ascii="长城小标宋体" w:eastAsia="长城小标宋体" w:hAnsi="仿宋" w:cs="Arial"/>
          <w:sz w:val="36"/>
          <w:szCs w:val="36"/>
        </w:rPr>
      </w:pPr>
      <w:r>
        <w:rPr>
          <w:rFonts w:ascii="长城小标宋体" w:eastAsia="长城小标宋体" w:hAnsi="仿宋" w:cs="Arial" w:hint="eastAsia"/>
          <w:sz w:val="36"/>
          <w:szCs w:val="36"/>
        </w:rPr>
        <w:t>南京某公司公司决议撤销纠纷案</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w:t>
      </w:r>
      <w:r>
        <w:rPr>
          <w:rFonts w:ascii="仿宋" w:eastAsia="仿宋" w:hAnsi="仿宋" w:cs="Arial" w:hint="eastAsia"/>
          <w:sz w:val="32"/>
          <w:szCs w:val="32"/>
        </w:rPr>
        <w:t>案情简介</w:t>
      </w:r>
      <w:r>
        <w:rPr>
          <w:rFonts w:ascii="黑体" w:eastAsia="黑体" w:hAnsi="黑体" w:cs="Arial" w:hint="eastAsia"/>
          <w:sz w:val="32"/>
          <w:szCs w:val="32"/>
        </w:rPr>
        <w:t>】</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南京某公司系由北京某公司与邓某共同设立，其中北京</w:t>
      </w:r>
      <w:r>
        <w:rPr>
          <w:rFonts w:ascii="仿宋" w:eastAsia="仿宋" w:hAnsi="仿宋" w:cs="Arial" w:hint="eastAsia"/>
          <w:sz w:val="32"/>
          <w:szCs w:val="32"/>
        </w:rPr>
        <w:lastRenderedPageBreak/>
        <w:t>某公司持股75%；邓某持股25%。邓某任南京某公司执行董事、法定代表人，孙某任南京某公司监事。</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由于南京某公司经营陷入僵局，2015年9月1日，南京某公司监事孙某、大股东北京某公司向邓某寄送《关于提请召开临时股东会会议的申请书》（下称“《申请书》”），要求邓某于收到申请书之日起五日内召集并书面通知召开临时股东会会议，并于二十二日内召开临时股东会会议，否则将视为《公司章程》第十二条规定的“执行董事不能履行或不履行召集股东会会议职责”。</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邓某接到《申请书》后，未如期召集股东会。监事孙某遂于2015年9月8日发出召集通知，于2015年9月25日召开临时股东会（下称“25日股东会”），会议通过决议免去邓某执行董事、法定代表人职务。</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2015年9月14日，邓某发出召集临时股东会的通知，并于2015年9月30日召开临时股东会（下称“30日股东会”），会议通过决议免去邓某执行董事、法定代表人职务。该次股东会还审议了邓某提议的其他事项。</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邓某向法院提起诉讼，请求撤销9月25日和30日的两个股东会决议。一审法院以25日股东会召集程序违反章程、30日股东会决议内容超越股东会职权为由，判决撤销25日和30日的股东会决议。</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lastRenderedPageBreak/>
        <w:t>北京某公司不服一审判决，委托我所律师代理其提起上诉。二审判决以对25日股东会决议的起诉已过60日撤销期限、30日股东会决议内容并未超越股东会职权为由撤销一审判决，驳回邓某全部诉讼请求。</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w:t>
      </w:r>
      <w:r>
        <w:rPr>
          <w:rFonts w:ascii="仿宋" w:eastAsia="仿宋" w:hAnsi="仿宋" w:cs="Arial" w:hint="eastAsia"/>
          <w:sz w:val="32"/>
          <w:szCs w:val="32"/>
        </w:rPr>
        <w:t>代理意见</w:t>
      </w:r>
      <w:r>
        <w:rPr>
          <w:rFonts w:ascii="黑体" w:eastAsia="黑体" w:hAnsi="黑体" w:cs="Arial" w:hint="eastAsia"/>
          <w:sz w:val="32"/>
          <w:szCs w:val="32"/>
        </w:rPr>
        <w:t>】</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我们认为，本案系公司决议撤销纠纷，主要争议焦点为股东会召集程序和决议内容是否违反公司章程的规定，以及</w:t>
      </w:r>
      <w:r>
        <w:rPr>
          <w:rFonts w:ascii="仿宋" w:eastAsia="仿宋" w:hAnsi="仿宋" w:cs="黑体" w:hint="eastAsia"/>
          <w:sz w:val="32"/>
          <w:szCs w:val="32"/>
        </w:rPr>
        <w:t>邓某要求撤销股东会决议的时间是否超过了公司法规定的撤销期限</w:t>
      </w:r>
      <w:r>
        <w:rPr>
          <w:rFonts w:ascii="仿宋" w:eastAsia="仿宋" w:hAnsi="仿宋" w:cs="Arial" w:hint="eastAsia"/>
          <w:sz w:val="32"/>
          <w:szCs w:val="32"/>
        </w:rPr>
        <w:t>。具体而言，包括：（1）执行董事未在监事、股东要求的期限内召集、召开股东会，是否属于“执行董事不履行召集职责”而可以由监事自行召集会议的情形；（2）</w:t>
      </w:r>
      <w:r>
        <w:rPr>
          <w:rFonts w:ascii="仿宋" w:eastAsia="仿宋" w:hAnsi="仿宋" w:cs="黑体" w:hint="eastAsia"/>
          <w:sz w:val="32"/>
          <w:szCs w:val="32"/>
        </w:rPr>
        <w:t>邓某要求撤销股东会决议的时间是否超过了公司法规定的撤销期限</w:t>
      </w:r>
      <w:r>
        <w:rPr>
          <w:rFonts w:ascii="仿宋" w:eastAsia="仿宋" w:hAnsi="仿宋" w:cs="Arial" w:hint="eastAsia"/>
          <w:sz w:val="32"/>
          <w:szCs w:val="32"/>
        </w:rPr>
        <w:t>（3）《公司章程》未规定股东会有权更换执行董事、法定代表人，股东会作出相关决议免去执行董事、法定代表人职务是否超越职权并违反章程规定。</w:t>
      </w:r>
    </w:p>
    <w:p w:rsidR="006E5DC9" w:rsidRDefault="003E795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一、关于2015年9月25日股东会决议，其召集程序并未违反公司法的规定，且邓某要求撤销该股东会决议的时间已经超过了公司法规定的撤销期限。</w:t>
      </w:r>
    </w:p>
    <w:p w:rsidR="006E5DC9" w:rsidRDefault="003E7956">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 2015年9月25日股东会决议的召集程序并未违反公司法的规定。</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公司监事于2015年9月8日对股东会的召集，是在邓某</w:t>
      </w:r>
      <w:r>
        <w:rPr>
          <w:rFonts w:ascii="仿宋" w:eastAsia="仿宋" w:hAnsi="仿宋" w:cs="Arial" w:hint="eastAsia"/>
          <w:sz w:val="32"/>
          <w:szCs w:val="32"/>
        </w:rPr>
        <w:lastRenderedPageBreak/>
        <w:t>未履行股东会召集职责的情形下进行的，在《申请书》中，公司监事已经明确提出了股东会召集的期限，但邓某在期限内并未召集股东会会议，也未进行任何答复，应当视为未履行股东会召集职责。</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邓某于2015年9月14日对股东会的召集与公司监事召集的股东会审议内容并不完全相同，因此，邓某召集召开的股东会，并非是其依据公司监事的提议而召开的股东会，而是自行召集的一次新的股东会，即2015年9月30日股东会。即使北京某公司参加该次股东会，也不能因此否认2015年9月25日股东会召集程序的合法性。</w:t>
      </w:r>
    </w:p>
    <w:p w:rsidR="006E5DC9" w:rsidRDefault="003E7956">
      <w:pPr>
        <w:spacing w:line="600" w:lineRule="exact"/>
        <w:ind w:firstLineChars="200" w:firstLine="640"/>
        <w:rPr>
          <w:rFonts w:ascii="楷体" w:eastAsia="楷体" w:hAnsi="楷体" w:cs="Arial"/>
          <w:sz w:val="32"/>
          <w:szCs w:val="32"/>
        </w:rPr>
      </w:pPr>
      <w:r>
        <w:rPr>
          <w:rFonts w:ascii="楷体" w:eastAsia="楷体" w:hAnsi="楷体" w:cs="楷体" w:hint="eastAsia"/>
          <w:sz w:val="32"/>
          <w:szCs w:val="32"/>
        </w:rPr>
        <w:t>（二）邓某要求撤销该股东会决议的时间已经超过了公司法规定的撤销期限。</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根据《中华人民共和国公司法》（下称“《公司法》”）第二十二条和最高人民法院《关于适用&lt;中华人民共和国公司法&gt;若干问题的规定（一）》（下称“《公司法司法解释一》”）第三条的规定，股东要求撤销股东会决议的撤销期限为六十日，该期限的起算日为股东会决议作出之日，并且，该期限不存在中止、中断、延长的情形，只要超过该期限，人民法院即不应受理。</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本案中，邓某直至2016年2月26日才向一审法院提出撤销2015年9月25日股东会决议的诉讼请求，明显超过了</w:t>
      </w:r>
      <w:r>
        <w:rPr>
          <w:rFonts w:ascii="仿宋" w:eastAsia="仿宋" w:hAnsi="仿宋" w:cs="Arial" w:hint="eastAsia"/>
          <w:sz w:val="32"/>
          <w:szCs w:val="32"/>
        </w:rPr>
        <w:lastRenderedPageBreak/>
        <w:t>上述公司法规定的自股东会决议作出之日起六十日的撤销期限，因此，一审法院对于该项诉讼请求应当驳回被上诉人的起诉。</w:t>
      </w:r>
    </w:p>
    <w:p w:rsidR="006E5DC9" w:rsidRDefault="003E7956">
      <w:pPr>
        <w:spacing w:line="600" w:lineRule="exact"/>
        <w:ind w:firstLineChars="200" w:firstLine="640"/>
        <w:rPr>
          <w:rFonts w:ascii="仿宋" w:eastAsia="仿宋" w:hAnsi="仿宋" w:cs="Arial"/>
          <w:sz w:val="32"/>
          <w:szCs w:val="32"/>
        </w:rPr>
      </w:pPr>
      <w:r>
        <w:rPr>
          <w:rFonts w:ascii="黑体" w:eastAsia="黑体" w:hAnsi="黑体" w:cs="黑体" w:hint="eastAsia"/>
          <w:sz w:val="32"/>
          <w:szCs w:val="32"/>
        </w:rPr>
        <w:t>二、2015年9月30日股东会决议中关于更换执行董事、法定代表人的决议内容，不违反公司章程的任何规定。</w:t>
      </w:r>
    </w:p>
    <w:p w:rsidR="006E5DC9" w:rsidRDefault="003E7956">
      <w:pPr>
        <w:spacing w:line="600" w:lineRule="exact"/>
        <w:ind w:firstLineChars="200" w:firstLine="640"/>
        <w:rPr>
          <w:rFonts w:ascii="仿宋" w:eastAsia="仿宋" w:hAnsi="仿宋" w:cs="Arial"/>
          <w:bCs/>
          <w:sz w:val="32"/>
          <w:szCs w:val="32"/>
        </w:rPr>
      </w:pPr>
      <w:r>
        <w:rPr>
          <w:rFonts w:ascii="仿宋" w:eastAsia="仿宋" w:hAnsi="仿宋" w:cs="Arial" w:hint="eastAsia"/>
          <w:sz w:val="32"/>
          <w:szCs w:val="32"/>
        </w:rPr>
        <w:t>首先，《</w:t>
      </w:r>
      <w:r>
        <w:rPr>
          <w:rFonts w:ascii="仿宋" w:eastAsia="仿宋" w:hAnsi="仿宋" w:cs="Arial" w:hint="eastAsia"/>
          <w:bCs/>
          <w:sz w:val="32"/>
          <w:szCs w:val="32"/>
        </w:rPr>
        <w:t>公司章程》中虽未明确规定股东会具有更换非由职工代表担任的董事的权限，但也并未排除股东会的相应权限，因此该项股东会决议内容并未违反章程规定。</w:t>
      </w:r>
      <w:r>
        <w:rPr>
          <w:rFonts w:ascii="仿宋" w:eastAsia="仿宋" w:hAnsi="仿宋" w:cs="Arial" w:hint="eastAsia"/>
          <w:sz w:val="32"/>
          <w:szCs w:val="32"/>
        </w:rPr>
        <w:t>《公司章程》第二十条规定了公司应当解除法定代表人职务的情形，但并未限制公司不能在其他情形下解除法定代表人职务。</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bCs/>
          <w:sz w:val="32"/>
          <w:szCs w:val="32"/>
        </w:rPr>
        <w:t>其次，《</w:t>
      </w:r>
      <w:r>
        <w:rPr>
          <w:rFonts w:ascii="仿宋" w:eastAsia="仿宋" w:hAnsi="仿宋" w:cs="Arial" w:hint="eastAsia"/>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rsidR="006E5DC9" w:rsidRDefault="003E7956">
      <w:pPr>
        <w:spacing w:line="600" w:lineRule="exact"/>
        <w:ind w:firstLineChars="200" w:firstLine="640"/>
        <w:rPr>
          <w:rFonts w:ascii="仿宋" w:eastAsia="仿宋" w:hAnsi="仿宋" w:cs="Arial"/>
          <w:bCs/>
          <w:sz w:val="32"/>
          <w:szCs w:val="32"/>
        </w:rPr>
      </w:pPr>
      <w:r>
        <w:rPr>
          <w:rFonts w:ascii="仿宋" w:eastAsia="仿宋" w:hAnsi="仿宋" w:cs="Arial" w:hint="eastAsia"/>
          <w:bCs/>
          <w:sz w:val="32"/>
          <w:szCs w:val="32"/>
        </w:rPr>
        <w:t>最后，《公司章程》第二条规定：“本章程中的各项条款与法律、法规、规章不符的，以法律、法规、规章的规定为准。”据此，即使认定《公司章程》未规定公司股东会有权更换执行董事，但适用《公司法》第三十七条关于股东会职权的相关规定，股东会有权选举和更换非由职工代表担任的董事。</w:t>
      </w:r>
    </w:p>
    <w:p w:rsidR="006E5DC9" w:rsidRDefault="003E7956">
      <w:pPr>
        <w:ind w:firstLineChars="200" w:firstLine="640"/>
        <w:rPr>
          <w:rFonts w:ascii="仿宋" w:eastAsia="仿宋" w:hAnsi="仿宋" w:cs="Arial"/>
          <w:bCs/>
          <w:sz w:val="32"/>
          <w:szCs w:val="32"/>
        </w:rPr>
      </w:pPr>
      <w:r>
        <w:rPr>
          <w:rFonts w:ascii="仿宋" w:eastAsia="仿宋" w:hAnsi="仿宋" w:cs="Arial" w:hint="eastAsia"/>
          <w:bCs/>
          <w:sz w:val="32"/>
          <w:szCs w:val="32"/>
        </w:rPr>
        <w:t>因此，2015年9月30日股东会决议中关于更换执行董</w:t>
      </w:r>
      <w:r>
        <w:rPr>
          <w:rFonts w:ascii="仿宋" w:eastAsia="仿宋" w:hAnsi="仿宋" w:cs="Arial" w:hint="eastAsia"/>
          <w:bCs/>
          <w:sz w:val="32"/>
          <w:szCs w:val="32"/>
        </w:rPr>
        <w:lastRenderedPageBreak/>
        <w:t>事、法定代表人的决议内容，不违反公司章程的任何规定。</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【判决结果】</w:t>
      </w:r>
    </w:p>
    <w:p w:rsidR="006E5DC9" w:rsidRDefault="003E7956">
      <w:pPr>
        <w:spacing w:line="600" w:lineRule="exact"/>
        <w:ind w:firstLineChars="200" w:firstLine="640"/>
        <w:rPr>
          <w:rFonts w:ascii="仿宋" w:eastAsia="仿宋" w:hAnsi="仿宋" w:cs="Arial"/>
          <w:bCs/>
          <w:sz w:val="32"/>
          <w:szCs w:val="32"/>
        </w:rPr>
      </w:pPr>
      <w:r>
        <w:rPr>
          <w:rFonts w:ascii="仿宋" w:eastAsia="仿宋" w:hAnsi="仿宋" w:cs="Arial" w:hint="eastAsia"/>
          <w:bCs/>
          <w:sz w:val="32"/>
          <w:szCs w:val="32"/>
        </w:rPr>
        <w:t>二审法院判决，撤销一审判决，驳回邓某一审全部诉讼请求。</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w:t>
      </w:r>
      <w:r>
        <w:rPr>
          <w:rFonts w:ascii="仿宋" w:eastAsia="仿宋" w:hAnsi="仿宋" w:hint="eastAsia"/>
          <w:color w:val="000000"/>
          <w:sz w:val="32"/>
          <w:szCs w:val="32"/>
        </w:rPr>
        <w:t>裁判文书</w:t>
      </w:r>
      <w:r>
        <w:rPr>
          <w:rFonts w:ascii="黑体" w:eastAsia="黑体" w:hAnsi="黑体" w:cs="Arial" w:hint="eastAsia"/>
          <w:sz w:val="32"/>
          <w:szCs w:val="32"/>
        </w:rPr>
        <w:t>】</w:t>
      </w:r>
    </w:p>
    <w:p w:rsidR="006E5DC9" w:rsidRDefault="003E7956">
      <w:pPr>
        <w:spacing w:line="600" w:lineRule="exact"/>
        <w:ind w:firstLineChars="200" w:firstLine="640"/>
        <w:jc w:val="left"/>
        <w:textAlignment w:val="center"/>
        <w:rPr>
          <w:rFonts w:ascii="仿宋" w:eastAsia="仿宋" w:hAnsi="仿宋"/>
          <w:sz w:val="32"/>
          <w:szCs w:val="32"/>
        </w:rPr>
      </w:pPr>
      <w:r>
        <w:rPr>
          <w:rFonts w:ascii="仿宋" w:eastAsia="仿宋" w:hAnsi="仿宋" w:hint="eastAsia"/>
          <w:color w:val="000000"/>
          <w:sz w:val="32"/>
          <w:szCs w:val="32"/>
        </w:rPr>
        <w:t>二审法院认为，本案争议焦点有二，一是9月25日股东会决议是否应予以撤销；二是9月30日股东会决议中的有关撤换执行董事的决议项是否应予以撤销。</w:t>
      </w:r>
    </w:p>
    <w:p w:rsidR="006E5DC9" w:rsidRDefault="003E7956">
      <w:pPr>
        <w:spacing w:line="600" w:lineRule="exact"/>
        <w:ind w:firstLineChars="200" w:firstLine="640"/>
        <w:jc w:val="left"/>
        <w:textAlignment w:val="center"/>
        <w:rPr>
          <w:rFonts w:ascii="仿宋" w:eastAsia="仿宋" w:hAnsi="仿宋"/>
          <w:sz w:val="32"/>
          <w:szCs w:val="32"/>
        </w:rPr>
      </w:pPr>
      <w:r>
        <w:rPr>
          <w:rFonts w:ascii="仿宋" w:eastAsia="仿宋" w:hAnsi="仿宋" w:hint="eastAsia"/>
          <w:color w:val="000000"/>
          <w:sz w:val="32"/>
          <w:szCs w:val="32"/>
        </w:rPr>
        <w:t>就第一个争议焦点问题，二审法院认为：根据南京某公司设立时的章程第十一条、第十二条的规定，2015年9月25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2015年9月14日发通知，决定2015年9月30日在南京召开临时股东会，北京某公司也派人出席会议，邓某召集主持了该次会议，其主持召集会议的时间与孙某提请召开会议之时相隔不久，在合理限度内，不能视为邓某不能履行或不履行召集股东会会议职责，故孙某2015年9月25日召集主持的会议程序违反章程规定，邓某可以在股东会</w:t>
      </w:r>
      <w:r>
        <w:rPr>
          <w:rFonts w:ascii="仿宋" w:eastAsia="仿宋" w:hAnsi="仿宋" w:hint="eastAsia"/>
          <w:color w:val="000000"/>
          <w:sz w:val="32"/>
          <w:szCs w:val="32"/>
        </w:rPr>
        <w:lastRenderedPageBreak/>
        <w:t>作出决议之日起60日内请求人民法院撤销。邓某未出席2015年9月25日的股东会会议，但其于2015年9月8日收到了会议通知，通知也载明了会议议题，并于2015年10月5日收到了公司寄送的股东会决议材料，邓某主张其收到的不是该次股东会决议材料，但其未能提供证据证明，法院不予采信。邓某于2016年2月26日向一审法院诉请撤销该决议，超过了60天的申请撤销期限，其无权再行使撤销权，故法院对邓某该项诉请不予支持。一审判决撤销该决议不当，法院予以纠正。</w:t>
      </w:r>
    </w:p>
    <w:p w:rsidR="006E5DC9" w:rsidRDefault="003E7956">
      <w:pPr>
        <w:spacing w:line="600" w:lineRule="exact"/>
        <w:ind w:firstLineChars="200" w:firstLine="640"/>
        <w:jc w:val="left"/>
        <w:textAlignment w:val="center"/>
        <w:rPr>
          <w:rFonts w:ascii="仿宋" w:eastAsia="仿宋" w:hAnsi="仿宋"/>
          <w:sz w:val="32"/>
          <w:szCs w:val="32"/>
        </w:rPr>
      </w:pPr>
      <w:r>
        <w:rPr>
          <w:rFonts w:ascii="仿宋" w:eastAsia="仿宋" w:hAnsi="仿宋" w:hint="eastAsia"/>
          <w:color w:val="000000"/>
          <w:sz w:val="32"/>
          <w:szCs w:val="32"/>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2015年9月30日的股东会会议，决议通过“同意免去邓某执行董事、法定代表人职务、同意委任吕某担任执行董事、法定代表人职务”等事项的表决合法有效，对公司及股东、董事均有拘束力。至于南京某公司章程第二十条关于公司应当解除法定代表人职务情形的规定，该规定明确了公司“应当”解除法定代表人职务的情形，但未明确公司股东会“可以”依法解除法定代表人职务的情形。因此，南京某公司章程对公司治理事项未</w:t>
      </w:r>
      <w:r>
        <w:rPr>
          <w:rFonts w:ascii="仿宋" w:eastAsia="仿宋" w:hAnsi="仿宋" w:hint="eastAsia"/>
          <w:color w:val="000000"/>
          <w:sz w:val="32"/>
          <w:szCs w:val="32"/>
        </w:rPr>
        <w:lastRenderedPageBreak/>
        <w:t>作规定的，应适用《公司法》的相关规定，即南京某公司股东会可以依法更换执行董事。邓某诉请撤销2015年9月30日的公司股东会决议，缺乏事实及法律依据，不予支持。一审法院认为公司股东会无权更换执行董事，适用法律错误，法院予以纠正。</w:t>
      </w:r>
    </w:p>
    <w:p w:rsidR="006E5DC9" w:rsidRDefault="003E7956">
      <w:pPr>
        <w:spacing w:line="600" w:lineRule="exact"/>
        <w:ind w:firstLineChars="200" w:firstLine="640"/>
        <w:jc w:val="left"/>
        <w:textAlignment w:val="center"/>
        <w:rPr>
          <w:rFonts w:ascii="仿宋" w:eastAsia="仿宋" w:hAnsi="仿宋"/>
          <w:sz w:val="32"/>
          <w:szCs w:val="32"/>
        </w:rPr>
      </w:pPr>
      <w:r>
        <w:rPr>
          <w:rFonts w:ascii="仿宋" w:eastAsia="仿宋" w:hAnsi="仿宋" w:hint="eastAsia"/>
          <w:color w:val="000000"/>
          <w:sz w:val="32"/>
          <w:szCs w:val="32"/>
        </w:rPr>
        <w:t>综上所述，二审法院认为，南京某公司上诉请求成立，予以支持。判决撤销一审判决，驳回邓某的全部诉讼请求。</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w:t>
      </w:r>
      <w:r>
        <w:rPr>
          <w:rFonts w:ascii="仿宋" w:eastAsia="仿宋" w:hAnsi="仿宋" w:cs="Arial" w:hint="eastAsia"/>
          <w:sz w:val="32"/>
          <w:szCs w:val="32"/>
        </w:rPr>
        <w:t>案例评析</w:t>
      </w:r>
      <w:r>
        <w:rPr>
          <w:rFonts w:ascii="黑体" w:eastAsia="黑体" w:hAnsi="黑体" w:cs="Arial" w:hint="eastAsia"/>
          <w:sz w:val="32"/>
          <w:szCs w:val="32"/>
        </w:rPr>
        <w:t>】</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一、执行董事未在监事或股东要求的期限内召开临时股东会，是否属于执行董事不履行临时股东会召集职责之情形？</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关于《公司法》第三十九条、第四十条规定的“执行董事不能履行或者不履行召集职责”应当如何理解的问题，虽然公司法以及南京某公司的章程均未明确，但在法理解释上一般认为“不能履行召集职责”，多指因某些原因导致召集者客观上欠缺召集能力而无法履行召集职责之情形；而“不履行召集职责”，多指召集者有召集能力但因某种原因不履行召集职责之情形。</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在本案中，执行董事在收到提议召集通知后，有召集能力，却未按照召集请求载明的时间发出召集股东会的通知，且在迟延召集股东会时，改变了请求召集股东会讨论事项的</w:t>
      </w:r>
      <w:r>
        <w:rPr>
          <w:rFonts w:ascii="仿宋" w:eastAsia="仿宋" w:hAnsi="仿宋" w:cs="Arial" w:hint="eastAsia"/>
          <w:sz w:val="32"/>
          <w:szCs w:val="32"/>
        </w:rPr>
        <w:lastRenderedPageBreak/>
        <w:t>内容，应解释为其不愿召集临时股东会。虽然二审判决以原告起诉期限已经超过60天的法定期限为由驳回原告诉讼请求，但二审判决认定公司监事召集9月25日股东会的程序违反章程规定，依据不足，我们不能认同。</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二、公司章程未规定股东会有权更换执行董事，股东会作出相关决议更换执行董事是否属于违反公司章程规定？</w:t>
      </w:r>
    </w:p>
    <w:p w:rsidR="006E5DC9" w:rsidRDefault="003E7956">
      <w:pPr>
        <w:spacing w:line="600" w:lineRule="exact"/>
        <w:ind w:firstLineChars="200" w:firstLine="640"/>
        <w:rPr>
          <w:rFonts w:ascii="仿宋" w:eastAsia="仿宋" w:hAnsi="仿宋" w:cs="Arial"/>
          <w:sz w:val="32"/>
          <w:szCs w:val="32"/>
        </w:rPr>
      </w:pPr>
      <w:r>
        <w:rPr>
          <w:rFonts w:ascii="楷体" w:eastAsia="楷体" w:hAnsi="楷体" w:cs="楷体" w:hint="eastAsia"/>
          <w:sz w:val="32"/>
          <w:szCs w:val="32"/>
        </w:rPr>
        <w:t>（一）从章程的文义解释和体系解释而言，30日股东会免除邓某执行董事、法定代表人职务的决议并未超越股东会职权，也不违反公司章程的规定。</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从文义解释角度而言，《公司章程》第二十条虽然规定了四种情形下，“公司应当解除”法定代表人职务，但这并不意味着在其他情形，公司不能解除法定代表人职务。在文义上，上述规定是指在四种情形下公司“应当解除”法定代表人职务，该条规定只是建立了公司解除法定代表人职务的“最低标准”——即，在该章程约定的情形，解除法定代表人职务是公司的义务。上述章程规定并未形成解除法定代表人职务的“全部标准”——即，未排除在该四种情形以外公司仍可解除法定代表人的权利，只是在该四种情形之外，解除法定代表人职务并非公司的义务，而是公司的权利。</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从体系解释角度而言，《公司章程》并未排除股东会解除执行董事的权利。虽然在《公司章程》有关股东会职权部分</w:t>
      </w:r>
      <w:r>
        <w:rPr>
          <w:rFonts w:ascii="仿宋" w:eastAsia="仿宋" w:hAnsi="仿宋" w:cs="Arial" w:hint="eastAsia"/>
          <w:sz w:val="32"/>
          <w:szCs w:val="32"/>
        </w:rPr>
        <w:lastRenderedPageBreak/>
        <w:t>并未明确规定股东会解除执行董事的权利，但《公司章程》第十四条明确规定了股东会对于执行董事、法定代表人享有选举权。依体系解释原则，按照“谁选举谁罢免”的原则，有选举权的机构当然也有罢免被选人员的权利。</w:t>
      </w:r>
    </w:p>
    <w:p w:rsidR="006E5DC9" w:rsidRDefault="003E7956">
      <w:pPr>
        <w:spacing w:line="600" w:lineRule="exact"/>
        <w:ind w:firstLineChars="200" w:firstLine="640"/>
        <w:rPr>
          <w:rFonts w:ascii="仿宋" w:eastAsia="仿宋" w:hAnsi="仿宋" w:cs="Arial"/>
          <w:sz w:val="32"/>
          <w:szCs w:val="32"/>
        </w:rPr>
      </w:pPr>
      <w:r>
        <w:rPr>
          <w:rFonts w:ascii="楷体" w:eastAsia="楷体" w:hAnsi="楷体" w:cs="楷体" w:hint="eastAsia"/>
          <w:sz w:val="32"/>
          <w:szCs w:val="32"/>
        </w:rPr>
        <w:t>（二）从《公司法》立法修改的历史解释角度而言，30日股东会免除邓某执行董事、法定代表人职务的决议并未超越股东会职权，也不违反公司章程的规定。</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从历史解释角度而言，我国《公司法》关于股东会解任董事的规定经历了从“有因解任”到“无因解任”的变迁过程。具体而言，1993年《公司法》第四十七条规定：“董事任期由公司章程规定，但每届任期不得超过三年。董事任期届满，连选可以连任。董事在任期届满前，股东会不得无故解除其职务。”1999年修正的《公司法》维持了上述规定；但2005年《公司法》第四十六条删除了关于“股东会不得无故解除董事职务”的规定，这就意味着股东会罢免董事职务，毋需特别说明理由；其后的《公司法》延续了这一规定。因此，从公司法的历史变迁而言，股东会罢免董事经历了从“严格控制”（要求解任有故）到“宽松控制”（不要求解任有故）的过程。这也印证了在南京某公司《公司章程》规定的最低解除董事职务的原因外，其股东会仍可按照法律规定对执行董事进行“无因解任”。</w:t>
      </w:r>
    </w:p>
    <w:p w:rsidR="006E5DC9" w:rsidRDefault="003E7956">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三）在公司章程未对“股东会更换执行董事、法定代表人”的职权作出具体规定的情况下，应当认为，公司股东会依据《公司法》赋予股东会的一般职权，有权更换执行董事和法定代表人，人民法院应以谦抑性为原则，不轻易否定公司决议效力。</w:t>
      </w:r>
    </w:p>
    <w:p w:rsidR="006E5DC9" w:rsidRDefault="003E7956">
      <w:pPr>
        <w:spacing w:line="600" w:lineRule="exact"/>
        <w:ind w:firstLineChars="200" w:firstLine="640"/>
        <w:rPr>
          <w:rFonts w:ascii="黑体" w:eastAsia="黑体" w:hAnsi="黑体" w:cs="Arial"/>
          <w:sz w:val="32"/>
          <w:szCs w:val="32"/>
        </w:rPr>
      </w:pPr>
      <w:r>
        <w:rPr>
          <w:rFonts w:ascii="黑体" w:eastAsia="黑体" w:hAnsi="黑体" w:cs="Arial" w:hint="eastAsia"/>
          <w:sz w:val="32"/>
          <w:szCs w:val="32"/>
        </w:rPr>
        <w:t>【</w:t>
      </w:r>
      <w:r>
        <w:rPr>
          <w:rFonts w:ascii="仿宋" w:eastAsia="仿宋" w:hAnsi="仿宋" w:cs="Arial" w:hint="eastAsia"/>
          <w:sz w:val="32"/>
          <w:szCs w:val="32"/>
        </w:rPr>
        <w:t>结语和建议</w:t>
      </w:r>
      <w:r>
        <w:rPr>
          <w:rFonts w:ascii="黑体" w:eastAsia="黑体" w:hAnsi="黑体" w:cs="Arial" w:hint="eastAsia"/>
          <w:sz w:val="32"/>
          <w:szCs w:val="32"/>
        </w:rPr>
        <w:t>】</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股东大会、董事会决议效力的问题上，容易出现不同的裁判结果。在司法实践的进程中，希望能逐步统一认识。</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20天之</w:t>
      </w:r>
      <w:r>
        <w:rPr>
          <w:rFonts w:ascii="仿宋" w:eastAsia="仿宋" w:hAnsi="仿宋" w:cs="Arial" w:hint="eastAsia"/>
          <w:sz w:val="32"/>
          <w:szCs w:val="32"/>
        </w:rPr>
        <w:lastRenderedPageBreak/>
        <w:t xml:space="preserve">内召集），则就可能不会发生本案公司决议效力的争议。 </w:t>
      </w:r>
    </w:p>
    <w:p w:rsidR="006E5DC9" w:rsidRDefault="006E5DC9">
      <w:pPr>
        <w:rPr>
          <w:rFonts w:ascii="黑体" w:eastAsia="黑体" w:hAnsi="黑体"/>
          <w:sz w:val="36"/>
          <w:szCs w:val="36"/>
        </w:rPr>
      </w:pPr>
    </w:p>
    <w:p w:rsidR="006E5DC9" w:rsidRDefault="003E7956">
      <w:pPr>
        <w:rPr>
          <w:rFonts w:ascii="黑体" w:eastAsia="黑体" w:hAnsi="黑体"/>
          <w:sz w:val="36"/>
          <w:szCs w:val="36"/>
        </w:rPr>
      </w:pPr>
      <w:r>
        <w:rPr>
          <w:rFonts w:ascii="黑体" w:eastAsia="黑体" w:hAnsi="黑体" w:hint="eastAsia"/>
          <w:sz w:val="36"/>
          <w:szCs w:val="36"/>
        </w:rPr>
        <w:t>2．律师非诉讼案例</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案例基本信息采集</w:t>
      </w:r>
    </w:p>
    <w:p w:rsidR="006E5DC9" w:rsidRDefault="003E7956">
      <w:pPr>
        <w:spacing w:line="600" w:lineRule="exact"/>
        <w:ind w:firstLineChars="200" w:firstLine="640"/>
        <w:rPr>
          <w:rFonts w:ascii="仿宋" w:eastAsia="仿宋" w:hAnsi="仿宋"/>
          <w:sz w:val="32"/>
          <w:szCs w:val="32"/>
          <w:u w:val="single"/>
        </w:rPr>
      </w:pPr>
      <w:r>
        <w:rPr>
          <w:rFonts w:ascii="仿宋" w:eastAsia="仿宋" w:hAnsi="仿宋" w:hint="eastAsia"/>
          <w:sz w:val="32"/>
          <w:szCs w:val="32"/>
        </w:rPr>
        <w:t>案例类型</w:t>
      </w:r>
      <w:r>
        <w:rPr>
          <w:rFonts w:ascii="仿宋" w:eastAsia="仿宋" w:hAnsi="仿宋"/>
          <w:sz w:val="32"/>
          <w:szCs w:val="32"/>
        </w:rPr>
        <w:t>：</w:t>
      </w:r>
      <w:r>
        <w:rPr>
          <w:rFonts w:ascii="仿宋" w:eastAsia="仿宋" w:hAnsi="仿宋" w:hint="eastAsia"/>
          <w:sz w:val="32"/>
          <w:szCs w:val="32"/>
          <w:u w:val="single"/>
        </w:rPr>
        <w:t xml:space="preserve">律师非诉讼案例                        </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业务类别</w:t>
      </w:r>
      <w:r>
        <w:rPr>
          <w:rFonts w:ascii="仿宋" w:eastAsia="仿宋" w:hAnsi="仿宋"/>
          <w:sz w:val="32"/>
          <w:szCs w:val="32"/>
        </w:rPr>
        <w:t>：</w:t>
      </w:r>
      <w:r>
        <w:rPr>
          <w:rFonts w:ascii="仿宋" w:eastAsia="仿宋" w:hAnsi="仿宋"/>
          <w:sz w:val="32"/>
          <w:szCs w:val="32"/>
          <w:u w:val="single"/>
        </w:rPr>
        <w:t>破产</w:t>
      </w:r>
      <w:r>
        <w:rPr>
          <w:rFonts w:ascii="仿宋" w:eastAsia="仿宋" w:hAnsi="仿宋" w:hint="eastAsia"/>
          <w:sz w:val="32"/>
          <w:szCs w:val="32"/>
          <w:u w:val="single"/>
        </w:rPr>
        <w:t xml:space="preserve">                                  </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案件代理时间</w:t>
      </w:r>
      <w:r>
        <w:rPr>
          <w:rFonts w:ascii="仿宋" w:eastAsia="仿宋" w:hAnsi="仿宋"/>
          <w:sz w:val="32"/>
          <w:szCs w:val="32"/>
        </w:rPr>
        <w:t>：</w:t>
      </w:r>
      <w:r>
        <w:rPr>
          <w:rFonts w:ascii="仿宋" w:eastAsia="仿宋" w:hAnsi="仿宋" w:hint="eastAsia"/>
          <w:sz w:val="32"/>
          <w:szCs w:val="32"/>
          <w:u w:val="single"/>
        </w:rPr>
        <w:t>2006年</w:t>
      </w:r>
      <w:r>
        <w:rPr>
          <w:rFonts w:ascii="仿宋" w:eastAsia="仿宋" w:hAnsi="仿宋"/>
          <w:sz w:val="32"/>
          <w:szCs w:val="32"/>
          <w:u w:val="single"/>
        </w:rPr>
        <w:tab/>
      </w:r>
      <w:r>
        <w:rPr>
          <w:rFonts w:ascii="仿宋" w:eastAsia="仿宋" w:hAnsi="仿宋" w:hint="eastAsia"/>
          <w:sz w:val="32"/>
          <w:szCs w:val="32"/>
          <w:u w:val="single"/>
        </w:rPr>
        <w:t xml:space="preserve">                          </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代理律师姓名</w:t>
      </w:r>
      <w:r>
        <w:rPr>
          <w:rFonts w:ascii="仿宋" w:eastAsia="仿宋" w:hAnsi="仿宋"/>
          <w:sz w:val="32"/>
          <w:szCs w:val="32"/>
        </w:rPr>
        <w:t>：</w:t>
      </w:r>
      <w:r>
        <w:rPr>
          <w:rFonts w:ascii="仿宋" w:eastAsia="仿宋" w:hAnsi="仿宋" w:hint="eastAsia"/>
          <w:sz w:val="32"/>
          <w:szCs w:val="32"/>
          <w:u w:val="single"/>
        </w:rPr>
        <w:t xml:space="preserve">张庆 刘宁                         </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律师事务所名称</w:t>
      </w:r>
      <w:r>
        <w:rPr>
          <w:rFonts w:ascii="仿宋" w:eastAsia="仿宋" w:hAnsi="仿宋"/>
          <w:sz w:val="32"/>
          <w:szCs w:val="32"/>
        </w:rPr>
        <w:t>：</w:t>
      </w:r>
      <w:r>
        <w:rPr>
          <w:rFonts w:ascii="仿宋" w:eastAsia="仿宋" w:hAnsi="仿宋" w:hint="eastAsia"/>
          <w:sz w:val="32"/>
          <w:szCs w:val="32"/>
          <w:u w:val="single"/>
        </w:rPr>
        <w:t xml:space="preserve">北京市公元律师事务所            </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供稿（实名，单位+姓名）</w:t>
      </w:r>
      <w:r>
        <w:rPr>
          <w:rFonts w:ascii="仿宋" w:eastAsia="仿宋" w:hAnsi="仿宋"/>
          <w:sz w:val="32"/>
          <w:szCs w:val="32"/>
        </w:rPr>
        <w:t>：</w:t>
      </w:r>
      <w:r>
        <w:rPr>
          <w:rFonts w:ascii="仿宋" w:eastAsia="仿宋" w:hAnsi="仿宋" w:hint="eastAsia"/>
          <w:sz w:val="32"/>
          <w:szCs w:val="32"/>
          <w:u w:val="single"/>
        </w:rPr>
        <w:t xml:space="preserve">北京公元博景泓律师事务所            </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审稿（实名，逐级）：</w:t>
      </w:r>
      <w:r>
        <w:rPr>
          <w:rFonts w:ascii="仿宋" w:eastAsia="仿宋" w:hAnsi="仿宋" w:cs="Arial" w:hint="eastAsia"/>
          <w:sz w:val="32"/>
          <w:szCs w:val="32"/>
          <w:u w:val="single"/>
        </w:rPr>
        <w:t xml:space="preserve">                             </w:t>
      </w:r>
    </w:p>
    <w:p w:rsidR="006E5DC9" w:rsidRDefault="003E7956">
      <w:pPr>
        <w:spacing w:line="600" w:lineRule="exact"/>
        <w:ind w:firstLineChars="200" w:firstLine="640"/>
        <w:rPr>
          <w:rFonts w:ascii="仿宋" w:eastAsia="仿宋" w:hAnsi="仿宋" w:cs="Arial"/>
          <w:sz w:val="32"/>
          <w:szCs w:val="32"/>
        </w:rPr>
      </w:pPr>
      <w:r>
        <w:rPr>
          <w:rFonts w:ascii="仿宋" w:eastAsia="仿宋" w:hAnsi="仿宋" w:cs="Arial" w:hint="eastAsia"/>
          <w:sz w:val="32"/>
          <w:szCs w:val="32"/>
        </w:rPr>
        <w:t>检索主题词：</w:t>
      </w:r>
      <w:r>
        <w:rPr>
          <w:rFonts w:ascii="仿宋" w:eastAsia="仿宋" w:hAnsi="仿宋" w:hint="eastAsia"/>
          <w:sz w:val="32"/>
          <w:szCs w:val="32"/>
          <w:u w:val="single"/>
        </w:rPr>
        <w:t xml:space="preserve">破产　</w:t>
      </w:r>
      <w:r>
        <w:rPr>
          <w:rFonts w:ascii="仿宋" w:eastAsia="仿宋" w:hAnsi="仿宋"/>
          <w:sz w:val="32"/>
          <w:szCs w:val="32"/>
          <w:u w:val="single"/>
        </w:rPr>
        <w:t>兴昌达博</w:t>
      </w:r>
      <w:r>
        <w:rPr>
          <w:rFonts w:ascii="仿宋" w:eastAsia="仿宋" w:hAnsi="仿宋" w:hint="eastAsia"/>
          <w:sz w:val="32"/>
          <w:szCs w:val="32"/>
          <w:u w:val="single"/>
        </w:rPr>
        <w:t xml:space="preserve">　　</w:t>
      </w:r>
      <w:r>
        <w:rPr>
          <w:rFonts w:ascii="仿宋" w:eastAsia="仿宋" w:hAnsi="仿宋"/>
          <w:sz w:val="32"/>
          <w:szCs w:val="32"/>
          <w:u w:val="single"/>
        </w:rPr>
        <w:t>重组</w:t>
      </w:r>
      <w:r>
        <w:rPr>
          <w:rFonts w:ascii="仿宋" w:eastAsia="仿宋" w:hAnsi="仿宋" w:hint="eastAsia"/>
          <w:sz w:val="32"/>
          <w:szCs w:val="32"/>
          <w:u w:val="single"/>
        </w:rPr>
        <w:t xml:space="preserve">              </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、案例正文采集</w:t>
      </w:r>
    </w:p>
    <w:p w:rsidR="006E5DC9" w:rsidRDefault="003E7956">
      <w:pPr>
        <w:spacing w:line="600" w:lineRule="exact"/>
        <w:ind w:firstLineChars="200" w:firstLine="720"/>
        <w:jc w:val="center"/>
        <w:rPr>
          <w:rFonts w:ascii="长城小标宋体" w:eastAsia="长城小标宋体" w:hAnsi="宋体"/>
          <w:sz w:val="36"/>
          <w:szCs w:val="36"/>
        </w:rPr>
      </w:pPr>
      <w:r>
        <w:rPr>
          <w:rFonts w:ascii="长城小标宋体" w:eastAsia="长城小标宋体" w:hAnsi="宋体" w:hint="eastAsia"/>
          <w:sz w:val="36"/>
          <w:szCs w:val="36"/>
        </w:rPr>
        <w:t>北京兴昌达博房地产开发有限公司破产重组案</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 w:eastAsia="仿宋" w:hAnsi="仿宋" w:hint="eastAsia"/>
          <w:sz w:val="32"/>
          <w:szCs w:val="32"/>
        </w:rPr>
        <w:t>案情简介</w:t>
      </w:r>
      <w:r>
        <w:rPr>
          <w:rFonts w:ascii="黑体" w:eastAsia="黑体" w:hAnsi="黑体" w:hint="eastAsia"/>
          <w:sz w:val="32"/>
          <w:szCs w:val="32"/>
        </w:rPr>
        <w:t>】</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北京兴昌达博房地产开发有限公司</w:t>
      </w:r>
      <w:r>
        <w:rPr>
          <w:rFonts w:ascii="仿宋" w:eastAsia="仿宋" w:hAnsi="仿宋"/>
          <w:sz w:val="32"/>
          <w:szCs w:val="32"/>
        </w:rPr>
        <w:t>(下称“兴昌达博公司”)系2001年注册成立，为开发麓鸣花园项目而设立的项目公司，注册资本金为人民币1亿元。公司股东分别为北京东方达博置业投资有限公司(下称“东方达博公司”)、黄某及北京兴昌高科技发展总公司(下称“兴昌高科公司”)。其中东方达博公司出资人民币7 000万元，占注册资本的70%；</w:t>
      </w:r>
      <w:r>
        <w:rPr>
          <w:rFonts w:ascii="仿宋" w:eastAsia="仿宋" w:hAnsi="仿宋"/>
          <w:sz w:val="32"/>
          <w:szCs w:val="32"/>
        </w:rPr>
        <w:lastRenderedPageBreak/>
        <w:t>黄某出资人民币2 000万元，占注册资本的20%；兴昌高科公司出资人民币1 000万元，占注册资本的10%。公司住所地是北京市昌平区南邵镇麓鸣花园会所２层，法定代表人为王××。</w:t>
      </w:r>
    </w:p>
    <w:p w:rsidR="006E5DC9" w:rsidRDefault="003E7956">
      <w:pPr>
        <w:spacing w:line="600" w:lineRule="exact"/>
        <w:ind w:firstLineChars="200" w:firstLine="640"/>
        <w:rPr>
          <w:rFonts w:ascii="仿宋" w:eastAsia="仿宋" w:hAnsi="仿宋"/>
          <w:sz w:val="32"/>
          <w:szCs w:val="32"/>
        </w:rPr>
      </w:pPr>
      <w:r>
        <w:rPr>
          <w:rFonts w:ascii="仿宋" w:eastAsia="仿宋" w:hAnsi="仿宋"/>
          <w:sz w:val="32"/>
          <w:szCs w:val="32"/>
        </w:rPr>
        <w:t>2001年3月，兴昌达博公司与其股东兴昌高科公司签署协议，共同开发位于北京市昌平区南邵乡东部的500亩土地，作为麓鸣花园项目用地。兴昌高科公司负责该土地的一级开发、办理征地手续，并负责办理和提供该土地具备开工条件和房屋预售条件的一切合法手续和证件原件；兴昌达博公司负责提供8 000万元的拆迁补偿款，并承担销售和过户费用；兴昌高科公司不参与项目的利润分配。</w:t>
      </w:r>
    </w:p>
    <w:p w:rsidR="006E5DC9" w:rsidRDefault="003E7956">
      <w:pPr>
        <w:spacing w:line="600" w:lineRule="exact"/>
        <w:ind w:firstLineChars="200" w:firstLine="640"/>
        <w:rPr>
          <w:rFonts w:ascii="仿宋" w:eastAsia="仿宋" w:hAnsi="仿宋"/>
          <w:sz w:val="32"/>
          <w:szCs w:val="32"/>
        </w:rPr>
      </w:pPr>
      <w:r>
        <w:rPr>
          <w:rFonts w:ascii="仿宋" w:eastAsia="仿宋" w:hAnsi="仿宋"/>
          <w:sz w:val="32"/>
          <w:szCs w:val="32"/>
        </w:rPr>
        <w:t>2002年，兴昌达博公司开始开发建设麓鸣花园项目。麓鸣花园项目位于北京市昌平区南邵镇东，其四至为：东至高压线走廊、南至昌怀公路、西至南邵镇还建房小区、北至九里山脊线。占地458亩。</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该项目规划总建筑面积</w:t>
      </w:r>
      <w:r>
        <w:rPr>
          <w:rFonts w:ascii="仿宋" w:eastAsia="仿宋" w:hAnsi="仿宋"/>
          <w:sz w:val="32"/>
          <w:szCs w:val="32"/>
        </w:rPr>
        <w:t>216 898平方米，实施统一规划，分期开发。该项目总建设用地305 300平方米，已取得规划证、开工证面积80 014平方米，现场已开工建设约70 000 平方米，其中一期建筑面积74 866平方米，二期建筑面积153 798平方米；建设内容为住宅及配套设施，其中公寓约50 000平方米，联排别墅140 000平方米，独立别墅12 000平方米，</w:t>
      </w:r>
      <w:r>
        <w:rPr>
          <w:rFonts w:ascii="仿宋" w:eastAsia="仿宋" w:hAnsi="仿宋"/>
          <w:sz w:val="32"/>
          <w:szCs w:val="32"/>
        </w:rPr>
        <w:lastRenderedPageBreak/>
        <w:t>配套公建约8 000平方米；规划总人口数约为3 400人，总户数1 052户。</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兴昌达博公司与兴昌高科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麓鸣花园项目原计划于</w:t>
      </w:r>
      <w:r>
        <w:rPr>
          <w:rFonts w:ascii="仿宋" w:eastAsia="仿宋" w:hAnsi="仿宋"/>
          <w:sz w:val="32"/>
          <w:szCs w:val="32"/>
        </w:rPr>
        <w:t xml:space="preserve">2003年完工并完成入住。但该块土地的相关手续一直没有办妥，拆迁工作无法进行，直到2004年，项目用地才完成征收手续，但此时的拆迁费用已经比2001年签订合同时提高了3.4亿元。 </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为解决兴昌达博公司的资金困难，加快麓鸣花园项目的建设，兴昌高科公司通过提供借款、垫付土地征用补偿款、代退房款等方式为兴昌达博公司提供资金累计约</w:t>
      </w:r>
      <w:r>
        <w:rPr>
          <w:rFonts w:ascii="仿宋" w:eastAsia="仿宋" w:hAnsi="仿宋"/>
          <w:sz w:val="32"/>
          <w:szCs w:val="32"/>
        </w:rPr>
        <w:t xml:space="preserve"> 7 600万元人民币，为此双方签订了一系列的合同、协议，但兴昌达博公司均未能依约按时返还所欠款项。虽然兴昌达博公司在2001年收到了数亿元的认购房款，但因其将资金大量挪作他用，到了2004年麓鸣花园项目可以进行拆迁开发时，兴昌达博公司已无力支付拆迁费用。由于资金链断裂，导致麓鸣花园项目被迫搁置，长时间处于停工状态。为此，大量业主开始要求退房，其中虽有几百户业主先后拿</w:t>
      </w:r>
      <w:r>
        <w:rPr>
          <w:rFonts w:ascii="仿宋" w:eastAsia="仿宋" w:hAnsi="仿宋" w:hint="eastAsia"/>
          <w:sz w:val="32"/>
          <w:szCs w:val="32"/>
        </w:rPr>
        <w:t>回了购房款，但仍</w:t>
      </w:r>
      <w:r>
        <w:rPr>
          <w:rFonts w:ascii="仿宋" w:eastAsia="仿宋" w:hAnsi="仿宋" w:hint="eastAsia"/>
          <w:sz w:val="32"/>
          <w:szCs w:val="32"/>
        </w:rPr>
        <w:lastRenderedPageBreak/>
        <w:t>有</w:t>
      </w:r>
      <w:r>
        <w:rPr>
          <w:rFonts w:ascii="仿宋" w:eastAsia="仿宋" w:hAnsi="仿宋"/>
          <w:sz w:val="32"/>
          <w:szCs w:val="32"/>
        </w:rPr>
        <w:t>300余户业主无法取回退房款。于是，一些业主开始通过诉讼或其他手段进行维权，自此业主与兴昌达博公司进行了长达将近6年的交涉，但一直未能取得实质性进展。</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自</w:t>
      </w:r>
      <w:r>
        <w:rPr>
          <w:rFonts w:ascii="仿宋" w:eastAsia="仿宋" w:hAnsi="仿宋"/>
          <w:sz w:val="32"/>
          <w:szCs w:val="32"/>
        </w:rPr>
        <w:t>2003年起，麓鸣花园项目的60余名业主以兴昌达博公司为被告向昌平区人民法院提起诉讼，要求兴昌达博公司交房或解约返还房款，涉诉标的总额达 1 100万元。昌平区人民法院判决兴昌达博公司或交房或退款，但因该公司既无房可交又无钱可退，结果都没有能够执行。问题迟迟不能得到解决，业主们彻底丧失了对兴昌达博公司的信任。</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 w:eastAsia="仿宋" w:hAnsi="仿宋" w:hint="eastAsia"/>
          <w:sz w:val="32"/>
          <w:szCs w:val="32"/>
        </w:rPr>
        <w:t>争议焦点</w:t>
      </w:r>
      <w:r>
        <w:rPr>
          <w:rFonts w:ascii="黑体" w:eastAsia="黑体" w:hAnsi="黑体" w:hint="eastAsia"/>
          <w:sz w:val="32"/>
          <w:szCs w:val="32"/>
        </w:rPr>
        <w:t>】</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为了彻底解决麓鸣花园项目遗留的历史问题，全面保护债权人的利益，维护社会的稳定，市、区两级党委和政府部门鉴于兴昌达博公司现有资产难以清偿到期债务，严重缺乏清偿能力，决定同意兴昌高科公司提出的促使兴昌达博公司进入破产程序的设想。既是债权人又是股东的兴昌高科公司，特委托公元律师事务所对是由债权人申请破产还是由债务人申请破产两个方案的利弊进行了专门的法律分析。</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 w:eastAsia="仿宋" w:hAnsi="仿宋" w:hint="eastAsia"/>
          <w:sz w:val="32"/>
          <w:szCs w:val="32"/>
        </w:rPr>
        <w:t>律师代理思路</w:t>
      </w:r>
      <w:r>
        <w:rPr>
          <w:rFonts w:ascii="黑体" w:eastAsia="黑体" w:hAnsi="黑体" w:hint="eastAsia"/>
          <w:sz w:val="32"/>
          <w:szCs w:val="32"/>
        </w:rPr>
        <w:t>】</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《企业破产法》第</w:t>
      </w:r>
      <w:r>
        <w:rPr>
          <w:rFonts w:ascii="仿宋" w:eastAsia="仿宋" w:hAnsi="仿宋"/>
          <w:sz w:val="32"/>
          <w:szCs w:val="32"/>
        </w:rPr>
        <w:t>2条规定：“企业法人不能清偿到期债务，并且资产不足以清偿全部债务或者明显缺乏清偿能力的，依照本法规定清理债务。企业法人有前款规定情形，或</w:t>
      </w:r>
      <w:r>
        <w:rPr>
          <w:rFonts w:ascii="仿宋" w:eastAsia="仿宋" w:hAnsi="仿宋"/>
          <w:sz w:val="32"/>
          <w:szCs w:val="32"/>
        </w:rPr>
        <w:lastRenderedPageBreak/>
        <w:t>者有明显丧失清偿能力可能的，可以依照本法规定进行重整。”第7条规定：“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据此，在符合法律规定</w:t>
      </w:r>
      <w:r>
        <w:rPr>
          <w:rFonts w:ascii="仿宋" w:eastAsia="仿宋" w:hAnsi="仿宋" w:hint="eastAsia"/>
          <w:sz w:val="32"/>
          <w:szCs w:val="32"/>
        </w:rPr>
        <w:t>条件的情况下，债务人和债权人均可向人民法院提出破产申请。</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根据上述法律规定，结合本案的情况和委托人的要求，如果申请兴昌达博公司破产，有两种方案可供选择：一是由兴昌高科公司以债权人身份申请兴昌达博公司破产</w:t>
      </w:r>
      <w:r>
        <w:rPr>
          <w:rFonts w:ascii="仿宋" w:eastAsia="仿宋" w:hAnsi="仿宋"/>
          <w:sz w:val="32"/>
          <w:szCs w:val="32"/>
        </w:rPr>
        <w:t>;二是由债务人兴昌达博公司自行申请破产。在本案中，兴昌达博公司现有资产难以清偿到期债务，严重缺乏清偿能力，作为股东的兴昌高科公司也是兴昌达博公司的债权人，其有权向法院申请兴昌达博公司破产;而兴昌达博公司经营出现严重困难，加之不能清偿到期债务，也可通过自行申请进入破产程序。鉴于本案的特殊情况及重大的社会影响，在综合考虑法院受理条件、材料准备、前期工作量、社会稳定等情况</w:t>
      </w:r>
      <w:r>
        <w:rPr>
          <w:rFonts w:ascii="仿宋" w:eastAsia="仿宋" w:hAnsi="仿宋" w:hint="eastAsia"/>
          <w:sz w:val="32"/>
          <w:szCs w:val="32"/>
        </w:rPr>
        <w:t>下，为顺利启动破产程序，就债权人兴昌高科公司和债务人兴昌达博公司分别提出破产申请的利弊、破产申请前期准备工作的内容及破产申请受理后可能出现的后果等情况进行了详细</w:t>
      </w:r>
      <w:r>
        <w:rPr>
          <w:rFonts w:ascii="仿宋" w:eastAsia="仿宋" w:hAnsi="仿宋" w:hint="eastAsia"/>
          <w:sz w:val="32"/>
          <w:szCs w:val="32"/>
        </w:rPr>
        <w:lastRenderedPageBreak/>
        <w:t>的法律分析。</w:t>
      </w:r>
    </w:p>
    <w:p w:rsidR="006E5DC9" w:rsidRDefault="003E7956">
      <w:pPr>
        <w:spacing w:line="60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w:t>
      </w:r>
      <w:r>
        <w:rPr>
          <w:rFonts w:ascii="黑体" w:eastAsia="黑体" w:hAnsi="黑体"/>
          <w:sz w:val="32"/>
          <w:szCs w:val="32"/>
        </w:rPr>
        <w:t>由债权人兴昌高科公司申请破产</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根据《企业破产法》第</w:t>
      </w:r>
      <w:r>
        <w:rPr>
          <w:rFonts w:ascii="仿宋" w:eastAsia="仿宋" w:hAnsi="仿宋"/>
          <w:sz w:val="32"/>
          <w:szCs w:val="32"/>
        </w:rPr>
        <w:t>2条的规定，企业法人破产原因为不能清偿到期债务且资产不足以清偿全部债务或不能清偿到期债务且明显缺乏清偿能力。如债权人兴昌高科公司向法院申请破产，为证明兴昌达博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w:t>
      </w:r>
      <w:r>
        <w:rPr>
          <w:rFonts w:ascii="仿宋" w:eastAsia="仿宋" w:hAnsi="仿宋" w:hint="eastAsia"/>
          <w:sz w:val="32"/>
          <w:szCs w:val="32"/>
        </w:rPr>
        <w:t>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rsidR="006E5DC9" w:rsidRDefault="003E7956">
      <w:pPr>
        <w:spacing w:line="600" w:lineRule="exact"/>
        <w:ind w:firstLineChars="200" w:firstLine="640"/>
        <w:rPr>
          <w:rFonts w:ascii="楷体" w:eastAsia="楷体" w:hAnsi="楷体"/>
          <w:sz w:val="32"/>
          <w:szCs w:val="32"/>
        </w:rPr>
      </w:pPr>
      <w:r>
        <w:rPr>
          <w:rFonts w:ascii="楷体" w:eastAsia="楷体" w:hAnsi="楷体"/>
          <w:sz w:val="32"/>
          <w:szCs w:val="32"/>
        </w:rPr>
        <w:t>(</w:t>
      </w:r>
      <w:r>
        <w:rPr>
          <w:rFonts w:ascii="楷体" w:eastAsia="楷体" w:hAnsi="楷体" w:hint="eastAsia"/>
          <w:sz w:val="32"/>
          <w:szCs w:val="32"/>
        </w:rPr>
        <w:t>一</w:t>
      </w:r>
      <w:r>
        <w:rPr>
          <w:rFonts w:ascii="楷体" w:eastAsia="楷体" w:hAnsi="楷体"/>
          <w:sz w:val="32"/>
          <w:szCs w:val="32"/>
        </w:rPr>
        <w:t>)债权人提交的证据与法院受理破产案件的条件存在较大差距，人民法院不予受理；</w:t>
      </w:r>
    </w:p>
    <w:p w:rsidR="006E5DC9" w:rsidRDefault="003E7956">
      <w:pPr>
        <w:spacing w:line="600" w:lineRule="exact"/>
        <w:ind w:firstLineChars="200" w:firstLine="640"/>
        <w:rPr>
          <w:rFonts w:ascii="楷体" w:eastAsia="楷体" w:hAnsi="楷体"/>
          <w:sz w:val="32"/>
          <w:szCs w:val="32"/>
        </w:rPr>
      </w:pPr>
      <w:r>
        <w:rPr>
          <w:rFonts w:ascii="楷体" w:eastAsia="楷体" w:hAnsi="楷体"/>
          <w:sz w:val="32"/>
          <w:szCs w:val="32"/>
        </w:rPr>
        <w:t>(</w:t>
      </w:r>
      <w:r>
        <w:rPr>
          <w:rFonts w:ascii="楷体" w:eastAsia="楷体" w:hAnsi="楷体" w:hint="eastAsia"/>
          <w:sz w:val="32"/>
          <w:szCs w:val="32"/>
        </w:rPr>
        <w:t>二</w:t>
      </w:r>
      <w:r>
        <w:rPr>
          <w:rFonts w:ascii="楷体" w:eastAsia="楷体" w:hAnsi="楷体"/>
          <w:sz w:val="32"/>
          <w:szCs w:val="32"/>
        </w:rPr>
        <w:t>)法院接受债权人的破产申请后，债务人提出异议，法院经审查认为债务人缺乏清偿能力情况不明显，不予受理</w:t>
      </w:r>
      <w:r>
        <w:rPr>
          <w:rFonts w:ascii="楷体" w:eastAsia="楷体" w:hAnsi="楷体"/>
          <w:sz w:val="32"/>
          <w:szCs w:val="32"/>
        </w:rPr>
        <w:lastRenderedPageBreak/>
        <w:t>破产申请；</w:t>
      </w:r>
    </w:p>
    <w:p w:rsidR="006E5DC9" w:rsidRDefault="003E7956">
      <w:pPr>
        <w:spacing w:line="600" w:lineRule="exact"/>
        <w:ind w:firstLineChars="200" w:firstLine="640"/>
        <w:rPr>
          <w:rFonts w:ascii="楷体" w:eastAsia="楷体" w:hAnsi="楷体"/>
          <w:sz w:val="32"/>
          <w:szCs w:val="32"/>
        </w:rPr>
      </w:pPr>
      <w:r>
        <w:rPr>
          <w:rFonts w:ascii="楷体" w:eastAsia="楷体" w:hAnsi="楷体"/>
          <w:sz w:val="32"/>
          <w:szCs w:val="32"/>
        </w:rPr>
        <w:t>(</w:t>
      </w:r>
      <w:r>
        <w:rPr>
          <w:rFonts w:ascii="楷体" w:eastAsia="楷体" w:hAnsi="楷体" w:hint="eastAsia"/>
          <w:sz w:val="32"/>
          <w:szCs w:val="32"/>
        </w:rPr>
        <w:t>三</w:t>
      </w:r>
      <w:r>
        <w:rPr>
          <w:rFonts w:ascii="楷体" w:eastAsia="楷体" w:hAnsi="楷体"/>
          <w:sz w:val="32"/>
          <w:szCs w:val="32"/>
        </w:rPr>
        <w:t>)人民法院认为符合破产申请的条件，裁定受理。</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本案中，债权人兴昌高科公司现有的证据材料均系证明兴昌达博公司不能清偿到期债务，对于兴昌达博公司明显缺乏清偿能力方面，尚无直接证据证明。但兴昌高科公司作为兴昌达博公司的股东，可以查阅兴昌达博公司的相关财务记录，整理出相应的证据材料。因此，此种申请破产方式较易得到人民法院的认可。另外，兴昌高科公司作为国有企业，容易得到其他债权人的信任，树立公众的信心，有利于破产程序的进行。</w:t>
      </w:r>
    </w:p>
    <w:p w:rsidR="006E5DC9" w:rsidRDefault="003E7956">
      <w:pPr>
        <w:spacing w:line="60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w:t>
      </w:r>
      <w:r>
        <w:rPr>
          <w:rFonts w:ascii="黑体" w:eastAsia="黑体" w:hAnsi="黑体"/>
          <w:sz w:val="32"/>
          <w:szCs w:val="32"/>
        </w:rPr>
        <w:t>债务人兴昌达博公司申请破产</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但就本案而言，由于兴昌达博公司一再违约，广大业主已对其失去信任与支持，尤其对其财务数据的准确性、经营</w:t>
      </w:r>
      <w:r>
        <w:rPr>
          <w:rFonts w:ascii="仿宋" w:eastAsia="仿宋" w:hAnsi="仿宋" w:hint="eastAsia"/>
          <w:sz w:val="32"/>
          <w:szCs w:val="32"/>
        </w:rPr>
        <w:lastRenderedPageBreak/>
        <w:t>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兴昌达博公司直接提出破产申请的方案，可控性、透明度等都会大打折扣。</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在提交对上述两种方案的分析后，笔者与委托人及昌平区相关部门进行多次磋商和沟通，在经过权衡各方利弊后一致认为，在兴昌达博公司董事会不能完全配合相关工作的情况下，为了保障广大债权人的合法权益，由兴昌高科公司这样的负有社会责任的国有企业，以债权人的身份申请兴昌达博公司破产，在理清债权债务关系后，再通过重整的方式解决债权人，尤其是广大业主的诉求，是最佳选择。虽然采取此方案会遇到如申报材料收集困难和理清债务时间较短的问题，但若操作得当，公开、透明地对兴昌达博公司进行破产，亦能得到广大债权人的支持，在解决兴昌达博公司债务的同时，也可以化解相应的社会矛盾。因此，委托人确定由笔者根据上述第一种方案，开始准备申请兴昌达博公司破产及后继的相关工作。</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 w:eastAsia="仿宋" w:hAnsi="仿宋" w:hint="eastAsia"/>
          <w:sz w:val="32"/>
          <w:szCs w:val="32"/>
        </w:rPr>
        <w:t>案件结果概述</w:t>
      </w:r>
      <w:r>
        <w:rPr>
          <w:rFonts w:ascii="黑体" w:eastAsia="黑体" w:hAnsi="黑体" w:hint="eastAsia"/>
          <w:sz w:val="32"/>
          <w:szCs w:val="32"/>
        </w:rPr>
        <w:t>】</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015</w:t>
      </w:r>
      <w:r>
        <w:rPr>
          <w:rFonts w:ascii="仿宋" w:eastAsia="仿宋" w:hAnsi="仿宋" w:hint="eastAsia"/>
          <w:sz w:val="32"/>
          <w:szCs w:val="32"/>
        </w:rPr>
        <w:t>年5月3</w:t>
      </w:r>
      <w:r>
        <w:rPr>
          <w:rFonts w:ascii="仿宋" w:eastAsia="仿宋" w:hAnsi="仿宋"/>
          <w:sz w:val="32"/>
          <w:szCs w:val="32"/>
        </w:rPr>
        <w:t>0</w:t>
      </w:r>
      <w:r>
        <w:rPr>
          <w:rFonts w:ascii="仿宋" w:eastAsia="仿宋" w:hAnsi="仿宋" w:hint="eastAsia"/>
          <w:sz w:val="32"/>
          <w:szCs w:val="32"/>
        </w:rPr>
        <w:t>日北京市昌平区人民法院（</w:t>
      </w:r>
      <w:r>
        <w:rPr>
          <w:rFonts w:ascii="仿宋" w:eastAsia="仿宋" w:hAnsi="仿宋"/>
          <w:sz w:val="32"/>
          <w:szCs w:val="32"/>
        </w:rPr>
        <w:t>2007）昌民破字第10949号</w:t>
      </w:r>
      <w:r>
        <w:rPr>
          <w:rFonts w:ascii="仿宋" w:eastAsia="仿宋" w:hAnsi="仿宋" w:hint="eastAsia"/>
          <w:sz w:val="32"/>
          <w:szCs w:val="32"/>
        </w:rPr>
        <w:t>民事裁定书裁定如下：</w:t>
      </w:r>
    </w:p>
    <w:p w:rsidR="006E5DC9" w:rsidRDefault="003E7956">
      <w:pPr>
        <w:spacing w:line="600" w:lineRule="exact"/>
        <w:ind w:firstLineChars="200" w:firstLine="640"/>
        <w:rPr>
          <w:rFonts w:ascii="仿宋" w:eastAsia="仿宋" w:hAnsi="仿宋"/>
          <w:sz w:val="32"/>
          <w:szCs w:val="32"/>
        </w:rPr>
      </w:pPr>
      <w:r>
        <w:rPr>
          <w:rFonts w:ascii="仿宋" w:eastAsia="仿宋" w:hAnsi="仿宋"/>
          <w:sz w:val="32"/>
          <w:szCs w:val="32"/>
        </w:rPr>
        <w:t>(一) 确认本院于2008年9月4日批准的《北京兴昌达博房地产开发有限公司重整计划草案》执行完毕；</w:t>
      </w:r>
    </w:p>
    <w:p w:rsidR="006E5DC9" w:rsidRDefault="003E7956">
      <w:pPr>
        <w:spacing w:line="600" w:lineRule="exact"/>
        <w:ind w:firstLineChars="200" w:firstLine="640"/>
        <w:rPr>
          <w:rFonts w:ascii="仿宋" w:eastAsia="仿宋" w:hAnsi="仿宋"/>
          <w:sz w:val="32"/>
          <w:szCs w:val="32"/>
        </w:rPr>
      </w:pPr>
      <w:r>
        <w:rPr>
          <w:rFonts w:ascii="仿宋" w:eastAsia="仿宋" w:hAnsi="仿宋"/>
          <w:sz w:val="32"/>
          <w:szCs w:val="32"/>
        </w:rPr>
        <w:t>(二) 终结北京兴昌达博房地产开发有限公司破产程序。</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相关</w:t>
      </w:r>
      <w:r>
        <w:rPr>
          <w:rFonts w:ascii="仿宋" w:eastAsia="仿宋" w:hAnsi="仿宋"/>
          <w:sz w:val="32"/>
          <w:szCs w:val="32"/>
        </w:rPr>
        <w:t>法律法规解读</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因此，从公平保护相关利害关系人权益及使重整计划草案更具有可执行性的角度出发，笔者认为，我国可以借鉴国外有关做法，允许债权人、股东、新出资人等利害关系人制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兴昌达博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 w:eastAsia="仿宋" w:hAnsi="仿宋" w:hint="eastAsia"/>
          <w:sz w:val="32"/>
          <w:szCs w:val="32"/>
        </w:rPr>
        <w:t>案例评析</w:t>
      </w:r>
      <w:r>
        <w:rPr>
          <w:rFonts w:ascii="黑体" w:eastAsia="黑体" w:hAnsi="黑体" w:hint="eastAsia"/>
          <w:sz w:val="32"/>
          <w:szCs w:val="32"/>
        </w:rPr>
        <w:t>】</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自</w:t>
      </w:r>
      <w:r>
        <w:rPr>
          <w:rFonts w:ascii="仿宋" w:eastAsia="仿宋" w:hAnsi="仿宋"/>
          <w:sz w:val="32"/>
          <w:szCs w:val="32"/>
        </w:rPr>
        <w:t>2006年起，麓鸣花园的业主开始向北京市和昌平区两级政府求助，并发生了多次群体上访事件。业主们到市政府上访，到区政府静坐，有一次竟组织近百辆汽车冲击和围堵区政府大院，汽车的音响里一齐高放国际歌，引发大批群众</w:t>
      </w:r>
      <w:r>
        <w:rPr>
          <w:rFonts w:ascii="仿宋" w:eastAsia="仿宋" w:hAnsi="仿宋"/>
          <w:sz w:val="32"/>
          <w:szCs w:val="32"/>
        </w:rPr>
        <w:lastRenderedPageBreak/>
        <w:t>围观，严重影响了区政府的正常办公和周围的交通秩序。此后业主们开始轮流到北京市委、人大、市政府等党政机关聚集、上访，并逐渐形成常态，尤其是在“两会”期间和重大节日前发展成了固定的群体聚集性事件。这起案件所涉金额之大、债权人人数之多、利益主体冲突之激烈，都让本案成为当时颇具社会影响力的重大群体性事件，2007年、2008年两年均被北京市委政法委列为十大维稳案件。《新京报》《京华时报》《北京青年报》、人民网、新浪网等国内多家媒体对本案均给予了高度关注，并进行了持续报道。本案立案后，媒体将本案视为《中华人民共和国企业破产法》(以下简称《企业破产法》)实施后第一起房地产公司破产案，被称之为“房企破产第一案”。</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麓鸣花园项目的历史问题引起了北京市委、市政府以及昌平区委和区政府的高度重视，多次组织政法委、信访办、维稳办、建委、科技园区等相关部门，在兴昌达博公司、兴昌高科公司和业主代表的参与下进行协调。但由于这种行政上的协调，缺乏强有力的法律保障，难以在业主和兴昌达博公司之间达成共识，加之此时兴昌达博公司已无力向业主履行交房义务或退还房款，从而使这种协调始终无法取得实质性的效果。与此同时，经过调查发现，兴昌达博公司负债总额已经远远超过其资产总额，各项财务指标表明，兴昌达博</w:t>
      </w:r>
      <w:r>
        <w:rPr>
          <w:rFonts w:ascii="仿宋" w:eastAsia="仿宋" w:hAnsi="仿宋" w:hint="eastAsia"/>
          <w:sz w:val="32"/>
          <w:szCs w:val="32"/>
        </w:rPr>
        <w:lastRenderedPageBreak/>
        <w:t>公司已经失去了企业自身的造血功能，对债务基本丧失清偿能力。如何合理合法地解决好这一涉及面广、牵扯面大、债权人人数众多、金额巨大、社会影响广泛的案件，已经成为摆在当地政府面前的一道难题。</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律师介入本案后，迅速推动了破产重整的进程，为保护债权人合法权益和维护社会稳定做出了重大的贡献。</w:t>
      </w:r>
    </w:p>
    <w:p w:rsidR="006E5DC9" w:rsidRDefault="003E7956">
      <w:pPr>
        <w:spacing w:line="600" w:lineRule="exact"/>
        <w:ind w:firstLineChars="200" w:firstLine="640"/>
        <w:rPr>
          <w:rFonts w:ascii="黑体" w:eastAsia="黑体" w:hAnsi="黑体"/>
          <w:sz w:val="32"/>
          <w:szCs w:val="32"/>
        </w:rPr>
      </w:pPr>
      <w:r>
        <w:rPr>
          <w:rFonts w:ascii="黑体" w:eastAsia="黑体" w:hAnsi="黑体" w:hint="eastAsia"/>
          <w:sz w:val="32"/>
          <w:szCs w:val="32"/>
        </w:rPr>
        <w:t>【</w:t>
      </w:r>
      <w:r>
        <w:rPr>
          <w:rFonts w:ascii="仿宋" w:eastAsia="仿宋" w:hAnsi="仿宋" w:hint="eastAsia"/>
          <w:sz w:val="32"/>
          <w:szCs w:val="32"/>
        </w:rPr>
        <w:t>结语与建议</w:t>
      </w:r>
      <w:r>
        <w:rPr>
          <w:rFonts w:ascii="黑体" w:eastAsia="黑体" w:hAnsi="黑体" w:hint="eastAsia"/>
          <w:sz w:val="32"/>
          <w:szCs w:val="32"/>
        </w:rPr>
        <w:t>】</w:t>
      </w:r>
    </w:p>
    <w:p w:rsidR="006E5DC9" w:rsidRDefault="003E7956">
      <w:pPr>
        <w:spacing w:line="600" w:lineRule="exact"/>
        <w:ind w:firstLineChars="200" w:firstLine="640"/>
        <w:rPr>
          <w:rFonts w:ascii="仿宋" w:eastAsia="仿宋" w:hAnsi="仿宋"/>
          <w:sz w:val="32"/>
          <w:szCs w:val="32"/>
        </w:rPr>
      </w:pPr>
      <w:r>
        <w:rPr>
          <w:rFonts w:ascii="仿宋" w:eastAsia="仿宋" w:hAnsi="仿宋" w:hint="eastAsia"/>
          <w:sz w:val="32"/>
          <w:szCs w:val="32"/>
        </w:rPr>
        <w:t>在本案办理过程中，反映出我国《企业破产法》特别是重整程序中一些不完备之处，需要最高人民法院在制定司法解释过程中逐渐完善。</w:t>
      </w: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spacing w:line="600" w:lineRule="atLeast"/>
        <w:ind w:firstLineChars="200" w:firstLine="640"/>
        <w:rPr>
          <w:rFonts w:ascii="仿宋" w:eastAsia="仿宋" w:hAnsi="仿宋" w:cs="仿宋"/>
          <w:sz w:val="32"/>
          <w:szCs w:val="32"/>
        </w:rPr>
      </w:pPr>
    </w:p>
    <w:p w:rsidR="006E5DC9" w:rsidRDefault="006E5DC9">
      <w:pPr>
        <w:autoSpaceDE w:val="0"/>
        <w:spacing w:line="360" w:lineRule="auto"/>
        <w:rPr>
          <w:rFonts w:ascii="仿宋" w:eastAsia="仿宋" w:hAnsi="仿宋"/>
          <w:sz w:val="32"/>
          <w:szCs w:val="32"/>
        </w:rPr>
      </w:pPr>
    </w:p>
    <w:p w:rsidR="006E5DC9" w:rsidRDefault="006E5DC9">
      <w:pPr>
        <w:autoSpaceDE w:val="0"/>
        <w:spacing w:line="360" w:lineRule="auto"/>
        <w:rPr>
          <w:rFonts w:ascii="仿宋" w:eastAsia="仿宋" w:hAnsi="仿宋"/>
          <w:sz w:val="32"/>
          <w:szCs w:val="32"/>
        </w:rPr>
      </w:pPr>
    </w:p>
    <w:p w:rsidR="006E5DC9" w:rsidRDefault="006E5DC9">
      <w:pPr>
        <w:autoSpaceDE w:val="0"/>
        <w:spacing w:line="360" w:lineRule="auto"/>
        <w:rPr>
          <w:rFonts w:ascii="仿宋" w:eastAsia="仿宋" w:hAnsi="仿宋"/>
          <w:sz w:val="32"/>
          <w:szCs w:val="32"/>
        </w:rPr>
      </w:pPr>
    </w:p>
    <w:p w:rsidR="006E5DC9" w:rsidRDefault="006E5DC9">
      <w:pPr>
        <w:autoSpaceDE w:val="0"/>
        <w:spacing w:line="360" w:lineRule="auto"/>
        <w:rPr>
          <w:rFonts w:ascii="仿宋" w:eastAsia="仿宋" w:hAnsi="仿宋"/>
          <w:sz w:val="32"/>
          <w:szCs w:val="32"/>
        </w:rPr>
      </w:pPr>
    </w:p>
    <w:sectPr w:rsidR="006E5DC9" w:rsidSect="0077696B">
      <w:footerReference w:type="default" r:id="rId8"/>
      <w:pgSz w:w="11906" w:h="16838"/>
      <w:pgMar w:top="2154" w:right="1786" w:bottom="1814" w:left="1786" w:header="851" w:footer="141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B2" w:rsidRDefault="00DF50B2">
      <w:r>
        <w:separator/>
      </w:r>
    </w:p>
  </w:endnote>
  <w:endnote w:type="continuationSeparator" w:id="0">
    <w:p w:rsidR="00DF50B2" w:rsidRDefault="00DF50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长城小标宋体">
    <w:altName w:val="宋体"/>
    <w:panose1 w:val="0201060901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09"/>
    </w:sdtPr>
    <w:sdtContent>
      <w:p w:rsidR="006E5DC9" w:rsidRDefault="009A1D19">
        <w:pPr>
          <w:pStyle w:val="a5"/>
          <w:jc w:val="center"/>
        </w:pPr>
        <w:r>
          <w:fldChar w:fldCharType="begin"/>
        </w:r>
        <w:r w:rsidR="003E7956">
          <w:instrText xml:space="preserve"> PAGE   \* MERGEFORMAT </w:instrText>
        </w:r>
        <w:r>
          <w:fldChar w:fldCharType="separate"/>
        </w:r>
        <w:r w:rsidR="00AA0643" w:rsidRPr="00AA0643">
          <w:rPr>
            <w:noProof/>
            <w:lang w:val="zh-CN"/>
          </w:rPr>
          <w:t>-</w:t>
        </w:r>
        <w:r w:rsidR="00AA0643">
          <w:rPr>
            <w:noProof/>
          </w:rPr>
          <w:t xml:space="preserve"> 1 -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B2" w:rsidRDefault="00DF50B2">
      <w:r>
        <w:separator/>
      </w:r>
    </w:p>
  </w:footnote>
  <w:footnote w:type="continuationSeparator" w:id="0">
    <w:p w:rsidR="00DF50B2" w:rsidRDefault="00DF5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AA1"/>
    <w:rsid w:val="00001807"/>
    <w:rsid w:val="00007E3D"/>
    <w:rsid w:val="000133A9"/>
    <w:rsid w:val="000135AB"/>
    <w:rsid w:val="00022159"/>
    <w:rsid w:val="000310A5"/>
    <w:rsid w:val="00033FA3"/>
    <w:rsid w:val="00034C90"/>
    <w:rsid w:val="00041750"/>
    <w:rsid w:val="00045AFA"/>
    <w:rsid w:val="00062F11"/>
    <w:rsid w:val="000646CB"/>
    <w:rsid w:val="000718BE"/>
    <w:rsid w:val="0008048C"/>
    <w:rsid w:val="00091267"/>
    <w:rsid w:val="00093AFC"/>
    <w:rsid w:val="00094F86"/>
    <w:rsid w:val="000A1F2E"/>
    <w:rsid w:val="000B6743"/>
    <w:rsid w:val="000B7A22"/>
    <w:rsid w:val="000C5DC4"/>
    <w:rsid w:val="000D6B41"/>
    <w:rsid w:val="000D6DF3"/>
    <w:rsid w:val="000E0CD1"/>
    <w:rsid w:val="000F52EE"/>
    <w:rsid w:val="000F741E"/>
    <w:rsid w:val="000F78DC"/>
    <w:rsid w:val="00101795"/>
    <w:rsid w:val="00101AF3"/>
    <w:rsid w:val="00116E60"/>
    <w:rsid w:val="001224E1"/>
    <w:rsid w:val="001242C0"/>
    <w:rsid w:val="001306C5"/>
    <w:rsid w:val="001458A9"/>
    <w:rsid w:val="00152F0B"/>
    <w:rsid w:val="00167828"/>
    <w:rsid w:val="0017194E"/>
    <w:rsid w:val="00171BBF"/>
    <w:rsid w:val="0017613E"/>
    <w:rsid w:val="00184F9C"/>
    <w:rsid w:val="00193270"/>
    <w:rsid w:val="001A6171"/>
    <w:rsid w:val="001B58AD"/>
    <w:rsid w:val="001B739B"/>
    <w:rsid w:val="001B7632"/>
    <w:rsid w:val="001C38F3"/>
    <w:rsid w:val="001C6F52"/>
    <w:rsid w:val="001D3C3A"/>
    <w:rsid w:val="001E2103"/>
    <w:rsid w:val="001E7DD1"/>
    <w:rsid w:val="0020623D"/>
    <w:rsid w:val="00244909"/>
    <w:rsid w:val="00246538"/>
    <w:rsid w:val="00260206"/>
    <w:rsid w:val="002742F9"/>
    <w:rsid w:val="00283385"/>
    <w:rsid w:val="00294221"/>
    <w:rsid w:val="002A17EC"/>
    <w:rsid w:val="002A2ACC"/>
    <w:rsid w:val="002A4040"/>
    <w:rsid w:val="002A458D"/>
    <w:rsid w:val="002F53F7"/>
    <w:rsid w:val="002F6457"/>
    <w:rsid w:val="00304658"/>
    <w:rsid w:val="0031455B"/>
    <w:rsid w:val="00322A02"/>
    <w:rsid w:val="00333429"/>
    <w:rsid w:val="00337D68"/>
    <w:rsid w:val="00373E16"/>
    <w:rsid w:val="00375426"/>
    <w:rsid w:val="003A15D1"/>
    <w:rsid w:val="003A7DF9"/>
    <w:rsid w:val="003B0B8F"/>
    <w:rsid w:val="003B0E3A"/>
    <w:rsid w:val="003B35BB"/>
    <w:rsid w:val="003E6589"/>
    <w:rsid w:val="003E7956"/>
    <w:rsid w:val="003F0BBE"/>
    <w:rsid w:val="003F44CA"/>
    <w:rsid w:val="003F53B0"/>
    <w:rsid w:val="004036E4"/>
    <w:rsid w:val="0040540E"/>
    <w:rsid w:val="00412EE3"/>
    <w:rsid w:val="0041636F"/>
    <w:rsid w:val="00417A67"/>
    <w:rsid w:val="00426F87"/>
    <w:rsid w:val="004703A4"/>
    <w:rsid w:val="00495431"/>
    <w:rsid w:val="004A46EC"/>
    <w:rsid w:val="004A6631"/>
    <w:rsid w:val="004A68CA"/>
    <w:rsid w:val="004A7FB6"/>
    <w:rsid w:val="004A7FF8"/>
    <w:rsid w:val="004C0744"/>
    <w:rsid w:val="004F0813"/>
    <w:rsid w:val="004F7393"/>
    <w:rsid w:val="004F759F"/>
    <w:rsid w:val="0053568F"/>
    <w:rsid w:val="0054004D"/>
    <w:rsid w:val="00540A4B"/>
    <w:rsid w:val="00542619"/>
    <w:rsid w:val="00572CF0"/>
    <w:rsid w:val="00591BE2"/>
    <w:rsid w:val="00595D82"/>
    <w:rsid w:val="005A5BB4"/>
    <w:rsid w:val="005B0431"/>
    <w:rsid w:val="005B5DA8"/>
    <w:rsid w:val="005B6A6D"/>
    <w:rsid w:val="005C2BFA"/>
    <w:rsid w:val="00605EB3"/>
    <w:rsid w:val="00607500"/>
    <w:rsid w:val="006101C8"/>
    <w:rsid w:val="00614928"/>
    <w:rsid w:val="00617ACF"/>
    <w:rsid w:val="006253CD"/>
    <w:rsid w:val="0062657C"/>
    <w:rsid w:val="00636E06"/>
    <w:rsid w:val="00637709"/>
    <w:rsid w:val="00641224"/>
    <w:rsid w:val="00645341"/>
    <w:rsid w:val="00661A16"/>
    <w:rsid w:val="00665F42"/>
    <w:rsid w:val="00671649"/>
    <w:rsid w:val="00675C2C"/>
    <w:rsid w:val="00683481"/>
    <w:rsid w:val="006914B2"/>
    <w:rsid w:val="006966C2"/>
    <w:rsid w:val="006A301A"/>
    <w:rsid w:val="006B17B0"/>
    <w:rsid w:val="006B5071"/>
    <w:rsid w:val="006C54FB"/>
    <w:rsid w:val="006D349A"/>
    <w:rsid w:val="006D6FB5"/>
    <w:rsid w:val="006D784F"/>
    <w:rsid w:val="006E5009"/>
    <w:rsid w:val="006E5DC9"/>
    <w:rsid w:val="006F09A0"/>
    <w:rsid w:val="007177FD"/>
    <w:rsid w:val="00726623"/>
    <w:rsid w:val="0072720F"/>
    <w:rsid w:val="00734AC7"/>
    <w:rsid w:val="00750A96"/>
    <w:rsid w:val="00757CC5"/>
    <w:rsid w:val="00760B92"/>
    <w:rsid w:val="00762BBB"/>
    <w:rsid w:val="00763773"/>
    <w:rsid w:val="0077696B"/>
    <w:rsid w:val="007828BD"/>
    <w:rsid w:val="00782929"/>
    <w:rsid w:val="00795D1A"/>
    <w:rsid w:val="00796679"/>
    <w:rsid w:val="007A1C65"/>
    <w:rsid w:val="007A1DFE"/>
    <w:rsid w:val="007B21E6"/>
    <w:rsid w:val="007C0958"/>
    <w:rsid w:val="007C22EC"/>
    <w:rsid w:val="007E757B"/>
    <w:rsid w:val="007E78A8"/>
    <w:rsid w:val="007E7F61"/>
    <w:rsid w:val="0081322E"/>
    <w:rsid w:val="00815606"/>
    <w:rsid w:val="00817347"/>
    <w:rsid w:val="0083486F"/>
    <w:rsid w:val="00836356"/>
    <w:rsid w:val="00837645"/>
    <w:rsid w:val="0085051D"/>
    <w:rsid w:val="00852B2C"/>
    <w:rsid w:val="00861BD5"/>
    <w:rsid w:val="0087578F"/>
    <w:rsid w:val="00885B42"/>
    <w:rsid w:val="008869CA"/>
    <w:rsid w:val="008C4717"/>
    <w:rsid w:val="008D6D8F"/>
    <w:rsid w:val="00912F4B"/>
    <w:rsid w:val="00914E02"/>
    <w:rsid w:val="00922813"/>
    <w:rsid w:val="00922899"/>
    <w:rsid w:val="00922B2E"/>
    <w:rsid w:val="009462C0"/>
    <w:rsid w:val="00954C57"/>
    <w:rsid w:val="00994FCE"/>
    <w:rsid w:val="009A1D19"/>
    <w:rsid w:val="009A2BBD"/>
    <w:rsid w:val="009A593E"/>
    <w:rsid w:val="009B4DFF"/>
    <w:rsid w:val="009D1043"/>
    <w:rsid w:val="009F5672"/>
    <w:rsid w:val="00A35566"/>
    <w:rsid w:val="00A376DB"/>
    <w:rsid w:val="00A56C48"/>
    <w:rsid w:val="00A6059F"/>
    <w:rsid w:val="00A66220"/>
    <w:rsid w:val="00A84F0F"/>
    <w:rsid w:val="00AA0643"/>
    <w:rsid w:val="00AA503A"/>
    <w:rsid w:val="00AA5A69"/>
    <w:rsid w:val="00AC76AE"/>
    <w:rsid w:val="00AD1E1C"/>
    <w:rsid w:val="00AD4C73"/>
    <w:rsid w:val="00B04E68"/>
    <w:rsid w:val="00B0785B"/>
    <w:rsid w:val="00B11F8A"/>
    <w:rsid w:val="00B13ACF"/>
    <w:rsid w:val="00B17282"/>
    <w:rsid w:val="00B255AF"/>
    <w:rsid w:val="00B25910"/>
    <w:rsid w:val="00B34AC4"/>
    <w:rsid w:val="00B356DF"/>
    <w:rsid w:val="00B436C2"/>
    <w:rsid w:val="00B52AA1"/>
    <w:rsid w:val="00B70296"/>
    <w:rsid w:val="00B71143"/>
    <w:rsid w:val="00BA58AE"/>
    <w:rsid w:val="00BA62CC"/>
    <w:rsid w:val="00BB438F"/>
    <w:rsid w:val="00BD2515"/>
    <w:rsid w:val="00BE3C63"/>
    <w:rsid w:val="00BE7302"/>
    <w:rsid w:val="00BF2C04"/>
    <w:rsid w:val="00C0113E"/>
    <w:rsid w:val="00C063E2"/>
    <w:rsid w:val="00C10091"/>
    <w:rsid w:val="00C245C5"/>
    <w:rsid w:val="00C42997"/>
    <w:rsid w:val="00C54B5D"/>
    <w:rsid w:val="00C63860"/>
    <w:rsid w:val="00C859D2"/>
    <w:rsid w:val="00CA5D21"/>
    <w:rsid w:val="00CB483E"/>
    <w:rsid w:val="00CB6CCF"/>
    <w:rsid w:val="00CC293E"/>
    <w:rsid w:val="00CD7308"/>
    <w:rsid w:val="00CE34F6"/>
    <w:rsid w:val="00CF40B8"/>
    <w:rsid w:val="00CF64C2"/>
    <w:rsid w:val="00D17167"/>
    <w:rsid w:val="00D17FCD"/>
    <w:rsid w:val="00D2476C"/>
    <w:rsid w:val="00D53BD8"/>
    <w:rsid w:val="00D55876"/>
    <w:rsid w:val="00D60102"/>
    <w:rsid w:val="00D60388"/>
    <w:rsid w:val="00D74311"/>
    <w:rsid w:val="00D75747"/>
    <w:rsid w:val="00D81D4E"/>
    <w:rsid w:val="00D91252"/>
    <w:rsid w:val="00D91D78"/>
    <w:rsid w:val="00DA6EF4"/>
    <w:rsid w:val="00DD085B"/>
    <w:rsid w:val="00DD149C"/>
    <w:rsid w:val="00DE1705"/>
    <w:rsid w:val="00DE2C9B"/>
    <w:rsid w:val="00DE6213"/>
    <w:rsid w:val="00DF50B2"/>
    <w:rsid w:val="00E005FF"/>
    <w:rsid w:val="00E05D3B"/>
    <w:rsid w:val="00E15A2C"/>
    <w:rsid w:val="00E3081A"/>
    <w:rsid w:val="00E459D0"/>
    <w:rsid w:val="00E4658C"/>
    <w:rsid w:val="00E61F3D"/>
    <w:rsid w:val="00E63368"/>
    <w:rsid w:val="00E71429"/>
    <w:rsid w:val="00E73A1B"/>
    <w:rsid w:val="00E9294E"/>
    <w:rsid w:val="00E93644"/>
    <w:rsid w:val="00EA0E25"/>
    <w:rsid w:val="00EA2E38"/>
    <w:rsid w:val="00EA3382"/>
    <w:rsid w:val="00EC26AD"/>
    <w:rsid w:val="00EC72CD"/>
    <w:rsid w:val="00ED6413"/>
    <w:rsid w:val="00EE16D2"/>
    <w:rsid w:val="00EE19AC"/>
    <w:rsid w:val="00EF2E8D"/>
    <w:rsid w:val="00EF42D2"/>
    <w:rsid w:val="00F031E2"/>
    <w:rsid w:val="00F13A43"/>
    <w:rsid w:val="00F13C04"/>
    <w:rsid w:val="00F156B4"/>
    <w:rsid w:val="00F17B91"/>
    <w:rsid w:val="00F22936"/>
    <w:rsid w:val="00F30453"/>
    <w:rsid w:val="00F305B8"/>
    <w:rsid w:val="00F3755F"/>
    <w:rsid w:val="00F37844"/>
    <w:rsid w:val="00F42BE5"/>
    <w:rsid w:val="00F4704B"/>
    <w:rsid w:val="00F85862"/>
    <w:rsid w:val="00F97EC0"/>
    <w:rsid w:val="00FD4AE7"/>
    <w:rsid w:val="00FE33CC"/>
    <w:rsid w:val="0C5846AB"/>
    <w:rsid w:val="1B827ED8"/>
    <w:rsid w:val="24420977"/>
    <w:rsid w:val="2FCB20F7"/>
    <w:rsid w:val="3F241E4A"/>
    <w:rsid w:val="53CF4B9C"/>
    <w:rsid w:val="68FA5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lsdException w:name="caption" w:uiPriority="35" w:qFormat="1"/>
    <w:lsdException w:name="footnote reference" w:semiHidden="0" w:uiPriority="0" w:unhideWhenUsed="0"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6B"/>
    <w:pPr>
      <w:widowControl w:val="0"/>
      <w:jc w:val="both"/>
    </w:pPr>
    <w:rPr>
      <w:kern w:val="2"/>
      <w:sz w:val="21"/>
      <w:szCs w:val="22"/>
    </w:rPr>
  </w:style>
  <w:style w:type="paragraph" w:styleId="1">
    <w:name w:val="heading 1"/>
    <w:basedOn w:val="a"/>
    <w:next w:val="a"/>
    <w:link w:val="1Char"/>
    <w:uiPriority w:val="9"/>
    <w:qFormat/>
    <w:rsid w:val="0077696B"/>
    <w:pPr>
      <w:keepNext/>
      <w:keepLines/>
      <w:jc w:val="center"/>
      <w:outlineLvl w:val="0"/>
    </w:pPr>
    <w:rPr>
      <w:b/>
      <w:bCs/>
      <w:kern w:val="44"/>
      <w:sz w:val="44"/>
      <w:szCs w:val="44"/>
    </w:rPr>
  </w:style>
  <w:style w:type="paragraph" w:styleId="2">
    <w:name w:val="heading 2"/>
    <w:basedOn w:val="a"/>
    <w:next w:val="a"/>
    <w:link w:val="2Char"/>
    <w:uiPriority w:val="9"/>
    <w:unhideWhenUsed/>
    <w:qFormat/>
    <w:rsid w:val="007769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769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77696B"/>
    <w:rPr>
      <w:rFonts w:ascii="宋体" w:eastAsia="宋体"/>
      <w:sz w:val="18"/>
      <w:szCs w:val="18"/>
    </w:rPr>
  </w:style>
  <w:style w:type="paragraph" w:styleId="30">
    <w:name w:val="toc 3"/>
    <w:basedOn w:val="a"/>
    <w:next w:val="a"/>
    <w:uiPriority w:val="39"/>
    <w:unhideWhenUsed/>
    <w:qFormat/>
    <w:rsid w:val="0077696B"/>
    <w:pPr>
      <w:widowControl/>
      <w:spacing w:after="100" w:line="276" w:lineRule="auto"/>
      <w:ind w:left="440"/>
      <w:jc w:val="left"/>
    </w:pPr>
    <w:rPr>
      <w:kern w:val="0"/>
      <w:sz w:val="22"/>
    </w:rPr>
  </w:style>
  <w:style w:type="paragraph" w:styleId="a4">
    <w:name w:val="Balloon Text"/>
    <w:basedOn w:val="a"/>
    <w:link w:val="Char0"/>
    <w:uiPriority w:val="99"/>
    <w:unhideWhenUsed/>
    <w:rsid w:val="0077696B"/>
    <w:rPr>
      <w:sz w:val="18"/>
      <w:szCs w:val="18"/>
    </w:rPr>
  </w:style>
  <w:style w:type="paragraph" w:styleId="a5">
    <w:name w:val="footer"/>
    <w:basedOn w:val="a"/>
    <w:link w:val="Char1"/>
    <w:uiPriority w:val="99"/>
    <w:unhideWhenUsed/>
    <w:rsid w:val="0077696B"/>
    <w:pPr>
      <w:tabs>
        <w:tab w:val="center" w:pos="4153"/>
        <w:tab w:val="right" w:pos="8306"/>
      </w:tabs>
      <w:snapToGrid w:val="0"/>
      <w:jc w:val="left"/>
    </w:pPr>
    <w:rPr>
      <w:sz w:val="18"/>
      <w:szCs w:val="18"/>
    </w:rPr>
  </w:style>
  <w:style w:type="paragraph" w:styleId="a6">
    <w:name w:val="header"/>
    <w:basedOn w:val="a"/>
    <w:link w:val="Char2"/>
    <w:uiPriority w:val="99"/>
    <w:unhideWhenUsed/>
    <w:rsid w:val="007769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7696B"/>
    <w:pPr>
      <w:tabs>
        <w:tab w:val="right" w:leader="dot" w:pos="8324"/>
      </w:tabs>
    </w:pPr>
    <w:rPr>
      <w:rFonts w:ascii="仿宋_GB2312" w:eastAsiaTheme="majorEastAsia" w:hAnsiTheme="majorEastAsia"/>
      <w:sz w:val="30"/>
      <w:szCs w:val="30"/>
    </w:rPr>
  </w:style>
  <w:style w:type="paragraph" w:styleId="a7">
    <w:name w:val="footnote text"/>
    <w:basedOn w:val="a"/>
    <w:link w:val="Char3"/>
    <w:qFormat/>
    <w:rsid w:val="0077696B"/>
    <w:pPr>
      <w:snapToGrid w:val="0"/>
      <w:jc w:val="left"/>
    </w:pPr>
    <w:rPr>
      <w:sz w:val="18"/>
    </w:rPr>
  </w:style>
  <w:style w:type="paragraph" w:styleId="20">
    <w:name w:val="toc 2"/>
    <w:basedOn w:val="a"/>
    <w:next w:val="a"/>
    <w:uiPriority w:val="39"/>
    <w:unhideWhenUsed/>
    <w:qFormat/>
    <w:rsid w:val="0077696B"/>
    <w:pPr>
      <w:ind w:leftChars="200" w:left="420"/>
    </w:pPr>
  </w:style>
  <w:style w:type="character" w:styleId="a8">
    <w:name w:val="page number"/>
    <w:basedOn w:val="a0"/>
    <w:rsid w:val="0077696B"/>
  </w:style>
  <w:style w:type="character" w:styleId="a9">
    <w:name w:val="Hyperlink"/>
    <w:basedOn w:val="a0"/>
    <w:uiPriority w:val="99"/>
    <w:unhideWhenUsed/>
    <w:rsid w:val="0077696B"/>
    <w:rPr>
      <w:rFonts w:eastAsia="仿宋_GB2312"/>
      <w:color w:val="0000FF" w:themeColor="hyperlink"/>
      <w:sz w:val="32"/>
      <w:u w:val="single"/>
    </w:rPr>
  </w:style>
  <w:style w:type="character" w:styleId="aa">
    <w:name w:val="footnote reference"/>
    <w:basedOn w:val="a0"/>
    <w:qFormat/>
    <w:rsid w:val="0077696B"/>
    <w:rPr>
      <w:vertAlign w:val="superscript"/>
    </w:rPr>
  </w:style>
  <w:style w:type="paragraph" w:customStyle="1" w:styleId="11">
    <w:name w:val="列出段落1"/>
    <w:basedOn w:val="a"/>
    <w:uiPriority w:val="34"/>
    <w:qFormat/>
    <w:rsid w:val="0077696B"/>
    <w:pPr>
      <w:ind w:firstLineChars="200" w:firstLine="420"/>
    </w:pPr>
  </w:style>
  <w:style w:type="character" w:customStyle="1" w:styleId="1Char">
    <w:name w:val="标题 1 Char"/>
    <w:basedOn w:val="a0"/>
    <w:link w:val="1"/>
    <w:uiPriority w:val="9"/>
    <w:rsid w:val="0077696B"/>
    <w:rPr>
      <w:b/>
      <w:bCs/>
      <w:kern w:val="44"/>
      <w:sz w:val="44"/>
      <w:szCs w:val="44"/>
    </w:rPr>
  </w:style>
  <w:style w:type="character" w:customStyle="1" w:styleId="2Char">
    <w:name w:val="标题 2 Char"/>
    <w:basedOn w:val="a0"/>
    <w:link w:val="2"/>
    <w:uiPriority w:val="9"/>
    <w:rsid w:val="0077696B"/>
    <w:rPr>
      <w:rFonts w:asciiTheme="majorHAnsi" w:eastAsiaTheme="majorEastAsia" w:hAnsiTheme="majorHAnsi" w:cstheme="majorBidi"/>
      <w:b/>
      <w:bCs/>
      <w:sz w:val="32"/>
      <w:szCs w:val="32"/>
    </w:rPr>
  </w:style>
  <w:style w:type="character" w:customStyle="1" w:styleId="Char2">
    <w:name w:val="页眉 Char"/>
    <w:basedOn w:val="a0"/>
    <w:link w:val="a6"/>
    <w:uiPriority w:val="99"/>
    <w:rsid w:val="0077696B"/>
    <w:rPr>
      <w:sz w:val="18"/>
      <w:szCs w:val="18"/>
    </w:rPr>
  </w:style>
  <w:style w:type="character" w:customStyle="1" w:styleId="Char1">
    <w:name w:val="页脚 Char"/>
    <w:basedOn w:val="a0"/>
    <w:link w:val="a5"/>
    <w:uiPriority w:val="99"/>
    <w:rsid w:val="0077696B"/>
    <w:rPr>
      <w:sz w:val="18"/>
      <w:szCs w:val="18"/>
    </w:rPr>
  </w:style>
  <w:style w:type="character" w:customStyle="1" w:styleId="Char3">
    <w:name w:val="脚注文本 Char"/>
    <w:basedOn w:val="a0"/>
    <w:link w:val="a7"/>
    <w:qFormat/>
    <w:rsid w:val="0077696B"/>
    <w:rPr>
      <w:sz w:val="18"/>
    </w:rPr>
  </w:style>
  <w:style w:type="paragraph" w:customStyle="1" w:styleId="12">
    <w:name w:val="列出段落1"/>
    <w:basedOn w:val="a"/>
    <w:uiPriority w:val="34"/>
    <w:qFormat/>
    <w:rsid w:val="0077696B"/>
    <w:pPr>
      <w:ind w:firstLineChars="200" w:firstLine="420"/>
    </w:pPr>
  </w:style>
  <w:style w:type="character" w:customStyle="1" w:styleId="3Char">
    <w:name w:val="标题 3 Char"/>
    <w:basedOn w:val="a0"/>
    <w:link w:val="3"/>
    <w:uiPriority w:val="9"/>
    <w:rsid w:val="0077696B"/>
    <w:rPr>
      <w:b/>
      <w:bCs/>
      <w:sz w:val="32"/>
      <w:szCs w:val="32"/>
    </w:rPr>
  </w:style>
  <w:style w:type="paragraph" w:customStyle="1" w:styleId="TOC1">
    <w:name w:val="TOC 标题1"/>
    <w:basedOn w:val="1"/>
    <w:next w:val="a"/>
    <w:uiPriority w:val="39"/>
    <w:unhideWhenUsed/>
    <w:qFormat/>
    <w:rsid w:val="0077696B"/>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77696B"/>
    <w:rPr>
      <w:sz w:val="18"/>
      <w:szCs w:val="18"/>
    </w:rPr>
  </w:style>
  <w:style w:type="character" w:customStyle="1" w:styleId="Char">
    <w:name w:val="文档结构图 Char"/>
    <w:basedOn w:val="a0"/>
    <w:link w:val="a3"/>
    <w:uiPriority w:val="99"/>
    <w:semiHidden/>
    <w:rsid w:val="0077696B"/>
    <w:rPr>
      <w:rFonts w:ascii="宋体" w:eastAsia="宋体"/>
      <w:sz w:val="18"/>
      <w:szCs w:val="18"/>
    </w:rPr>
  </w:style>
  <w:style w:type="paragraph" w:customStyle="1" w:styleId="13">
    <w:name w:val="无间隔1"/>
    <w:uiPriority w:val="1"/>
    <w:qFormat/>
    <w:rsid w:val="0077696B"/>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CAF9D-15E7-4C35-A11B-99FC06FE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1692</Words>
  <Characters>9648</Characters>
  <Application>Microsoft Office Word</Application>
  <DocSecurity>0</DocSecurity>
  <Lines>80</Lines>
  <Paragraphs>22</Paragraphs>
  <ScaleCrop>false</ScaleCrop>
  <Company>Sky123.Org</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166</cp:revision>
  <cp:lastPrinted>2017-09-05T01:52:00Z</cp:lastPrinted>
  <dcterms:created xsi:type="dcterms:W3CDTF">2017-08-27T05:19:00Z</dcterms:created>
  <dcterms:modified xsi:type="dcterms:W3CDTF">2017-09-27T09:13:00Z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