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4E" w:rsidRDefault="00402030" w:rsidP="0096406A">
      <w:pPr>
        <w:pStyle w:val="a5"/>
        <w:spacing w:beforeLines="50" w:before="156" w:beforeAutospacing="0" w:afterLines="50" w:after="156" w:afterAutospacing="0" w:line="360" w:lineRule="auto"/>
        <w:ind w:firstLine="420"/>
        <w:jc w:val="center"/>
        <w:rPr>
          <w:rFonts w:asciiTheme="minorEastAsia" w:eastAsiaTheme="minorEastAsia" w:hAnsiTheme="minorEastAsia" w:hint="eastAsia"/>
          <w:color w:val="000000"/>
          <w:sz w:val="32"/>
          <w:szCs w:val="32"/>
        </w:rPr>
      </w:pPr>
      <w:r w:rsidRPr="0051024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天津市</w:t>
      </w:r>
      <w:r w:rsidR="00540A4E" w:rsidRPr="0051024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律师专业水平评价工作</w:t>
      </w:r>
      <w:r w:rsidRPr="0051024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规范</w:t>
      </w:r>
    </w:p>
    <w:p w:rsidR="0096406A" w:rsidRPr="0096406A" w:rsidRDefault="0096406A" w:rsidP="0096406A">
      <w:pPr>
        <w:pStyle w:val="a5"/>
        <w:spacing w:beforeLines="50" w:before="156" w:beforeAutospacing="0" w:afterLines="50" w:after="156" w:afterAutospacing="0" w:line="360" w:lineRule="auto"/>
        <w:ind w:firstLine="420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bookmarkStart w:id="0" w:name="_GoBack"/>
      <w:bookmarkEnd w:id="0"/>
    </w:p>
    <w:p w:rsidR="00402030" w:rsidRPr="00510241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第一条</w:t>
      </w: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 </w:t>
      </w:r>
      <w:r w:rsidR="00402030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目的及意义</w:t>
      </w:r>
    </w:p>
    <w:p w:rsidR="00540A4E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为进一步</w:t>
      </w:r>
      <w:r w:rsidR="00402030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加强律师队伍建设，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健全律师专业水平评价体系和评定机制，科学、客观、公正地评价律师专业水平，</w:t>
      </w:r>
      <w:r w:rsidR="00402030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促进律师专业化分工，提高广大律师专业能力和服务水平，更好地满足社会法律服务需求，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</w:t>
      </w:r>
      <w:r w:rsidR="00402030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天津市司法局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《</w:t>
      </w:r>
      <w:r w:rsidR="00905E8B">
        <w:rPr>
          <w:rFonts w:asciiTheme="minorEastAsia" w:eastAsiaTheme="minorEastAsia" w:hAnsiTheme="minorEastAsia" w:hint="eastAsia"/>
          <w:color w:val="000000"/>
          <w:sz w:val="28"/>
          <w:szCs w:val="28"/>
        </w:rPr>
        <w:t>关于建立律师专业水平评价体系和评定机制试点工作的实施</w:t>
      </w:r>
      <w:r w:rsidR="00402030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方案》有关要求，制定本工作规范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0C6628" w:rsidRPr="00510241" w:rsidRDefault="000C6628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2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第二条  评价内容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律师专业水平评价采取与律师执业年度考核工作相结合的方式，划分专业评定专业律师，不与律师职称制度挂钩。专业律师评定不作名额限制。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2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/>
          <w:b/>
          <w:color w:val="000000"/>
          <w:sz w:val="28"/>
          <w:szCs w:val="28"/>
        </w:rPr>
        <w:t>（一）专业领域。</w:t>
      </w: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专业律师的评定范围选择为刑事、婚姻家庭法、公司法、金融证券保险、建筑房地产、知识产权、劳动法、涉外法律服务、行政法 9 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个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专业领域。评定的律师分别称为相应的专业律师。被评为专业律师的，不影响其办理参评专业以外的其他律师业务。没有被评定为专业律师的，也可以从事该专业律师业务。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每名律师参评的专业不超过 2 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个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。已获得 2 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个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专业律师称谓 的，可以在注销其中 1 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个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或者 2 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个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后，申报其他专业的专业律师， 但每名律师同时拥有的专业律师称谓不得超过 2 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个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。 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2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（二）参评条件。</w:t>
      </w: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参评律师应当在政治表现、诚信状况、执业年限和执业能力方面同时符合以下条件，并经评审合格，方可被评定为专业律师。 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1. 政治表现。参评律师应当拥护中国共产党领导、拥护社会主义法治，遵守宪法和法律，恪守律师职业道德和执业纪律。 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2. 诚信状况。参评律师应当依法、规范、诚信执业。参评前 5 年内，没有因执业行为受到党纪处分、行政处罚、行业惩戒和信用惩戒，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且律师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执业年度考核结果均为称职等次。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律师在接受刑事、行政案件立案调查期间和未执行生效民事法律文书期间，暂缓参评专业律师。 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3. 执业年限。参评律师具有法学博士、法学（法律）硕士、法学学士学位的，应当在相关专业领域分别连续执业 3 年、5 年、7年以上，其他参评律师应当在相关专业领域连续执业10年以上。在相关专业领域连续执业应满足每年承办 1 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件以上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该专业领域案件或项目的条件。 </w:t>
      </w:r>
    </w:p>
    <w:p w:rsidR="00510241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 xml:space="preserve">曾经从事审判、检察、立法等法律业务的律师，其实际从事审判、检察、立法等法律业务的时间应计算为相关专业领域的执业时间。从事审判、检察、立法的专业领域应与其申报的专业领域相一致，在相关专业领域连续执业应满足每年承办 1 </w:t>
      </w:r>
      <w:proofErr w:type="gramStart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件以上</w:t>
      </w:r>
      <w:proofErr w:type="gramEnd"/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t>该专业领域案件或项目的条件。</w:t>
      </w:r>
    </w:p>
    <w:p w:rsidR="000C6628" w:rsidRDefault="00B364BD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64BD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 xml:space="preserve"> 4. 执业能力。参评律师应当系统掌握法学基本理论、律师业务知识和相关专业知识，在所申报的专业领域具有丰富的执业经验，办理过一定数量的本专业领域有较大影响的法律事务，业务办理质量良好，在服务经济社会发展、全面依法治国、履行社会责任等方面做出贡献，符合各领域律师专业能力的评价指标。</w:t>
      </w:r>
    </w:p>
    <w:p w:rsidR="004903F7" w:rsidRPr="00FB5AD8" w:rsidRDefault="004903F7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FB5AD8">
        <w:rPr>
          <w:rFonts w:asciiTheme="minorEastAsia" w:eastAsiaTheme="minorEastAsia" w:hAnsiTheme="minorEastAsia" w:hint="eastAsia"/>
          <w:sz w:val="28"/>
          <w:szCs w:val="28"/>
        </w:rPr>
        <w:t>5、凡已经取得二级律师</w:t>
      </w:r>
      <w:r w:rsidR="000A59FC" w:rsidRPr="00FB5AD8">
        <w:rPr>
          <w:rFonts w:asciiTheme="minorEastAsia" w:eastAsiaTheme="minorEastAsia" w:hAnsiTheme="minorEastAsia" w:hint="eastAsia"/>
          <w:sz w:val="28"/>
          <w:szCs w:val="28"/>
        </w:rPr>
        <w:t>及以上</w:t>
      </w:r>
      <w:r w:rsidR="0046301B">
        <w:rPr>
          <w:rFonts w:asciiTheme="minorEastAsia" w:eastAsiaTheme="minorEastAsia" w:hAnsiTheme="minorEastAsia" w:hint="eastAsia"/>
          <w:sz w:val="28"/>
          <w:szCs w:val="28"/>
        </w:rPr>
        <w:t>律师</w:t>
      </w:r>
      <w:r w:rsidRPr="00FB5AD8">
        <w:rPr>
          <w:rFonts w:asciiTheme="minorEastAsia" w:eastAsiaTheme="minorEastAsia" w:hAnsiTheme="minorEastAsia" w:hint="eastAsia"/>
          <w:sz w:val="28"/>
          <w:szCs w:val="28"/>
        </w:rPr>
        <w:t>职称证书的可直接申报相关专业领域。</w:t>
      </w:r>
    </w:p>
    <w:p w:rsidR="00402030" w:rsidRPr="00510241" w:rsidRDefault="000C6628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第三</w:t>
      </w:r>
      <w:r w:rsidR="00540A4E"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条</w:t>
      </w:r>
      <w:r w:rsidR="00540A4E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 </w:t>
      </w:r>
      <w:r w:rsidR="00402030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评定机构</w:t>
      </w:r>
    </w:p>
    <w:p w:rsidR="00540A4E" w:rsidRPr="00234DCD" w:rsidRDefault="00402030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律师协会成立“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专业律师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评审委员会”， 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按照评审标准和程序，负责本市律师专业水平评价工作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361412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（一）</w:t>
      </w:r>
      <w:r w:rsidR="00361412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人员组成。</w:t>
      </w:r>
      <w:r w:rsidR="00361412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评审委员会由相关专业领域的律师和人民法院、人民检察院、公安机关、国家安全机关、司法行政机关、法学教学科研单位等有关部门的专业人士组成。</w:t>
      </w:r>
    </w:p>
    <w:p w:rsidR="00917AF3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（二）</w:t>
      </w:r>
      <w:r w:rsidR="00510241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禁止情形。</w:t>
      </w:r>
      <w:r w:rsidR="00917AF3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有下列情形之一的，不得担任律师专业水平评审委员会成员：</w:t>
      </w:r>
    </w:p>
    <w:p w:rsidR="00917AF3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r w:rsidR="00917AF3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受过党纪处分或者行政（政纪）处分的；</w:t>
      </w:r>
    </w:p>
    <w:p w:rsidR="00917AF3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2．</w:t>
      </w:r>
      <w:r w:rsidR="00917AF3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因执业行为受过行政处罚、行业惩戒或者信用惩戒的；</w:t>
      </w:r>
    </w:p>
    <w:p w:rsidR="00917AF3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3.</w:t>
      </w:r>
      <w:r w:rsidR="00917AF3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年度考核有过不称职（不合格）等次的。</w:t>
      </w:r>
    </w:p>
    <w:p w:rsidR="00540A4E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（三）</w:t>
      </w:r>
      <w:r w:rsidR="00510241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回避情形。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律师专业水平评审委员会成员有下列情形之一的，应当回避：</w:t>
      </w:r>
    </w:p>
    <w:p w:rsidR="00540A4E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1.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与参评律师有夫妻关系的；</w:t>
      </w:r>
    </w:p>
    <w:p w:rsidR="00540A4E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2.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与参评律师有直系血亲关系的；</w:t>
      </w:r>
    </w:p>
    <w:p w:rsidR="00540A4E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3.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与参评律师有三代以内旁系血亲关系的；</w:t>
      </w:r>
    </w:p>
    <w:p w:rsidR="00540A4E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4.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与参评律师有近姻亲关系的；</w:t>
      </w:r>
    </w:p>
    <w:p w:rsidR="00540A4E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5.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近三年内与参评律师有过同事关系的；</w:t>
      </w:r>
    </w:p>
    <w:p w:rsidR="00540A4E" w:rsidRPr="00234DCD" w:rsidRDefault="00045EFD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6.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与参评律师有其他关系，可能影响公正的。</w:t>
      </w:r>
    </w:p>
    <w:p w:rsidR="00540A4E" w:rsidRPr="00234DCD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律师专业水平评审委员会成员发现有应予回避情形的，应当主动回避。应当回避而不主动回避的，由市律师协会</w:t>
      </w:r>
      <w:proofErr w:type="gramStart"/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作出</w:t>
      </w:r>
      <w:proofErr w:type="gramEnd"/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处理或者建议相关部门予以处理。</w:t>
      </w:r>
    </w:p>
    <w:p w:rsidR="00E1522B" w:rsidRPr="00510241" w:rsidRDefault="000C6628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第四</w:t>
      </w:r>
      <w:r w:rsidR="00540A4E"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条</w:t>
      </w:r>
      <w:r w:rsidR="00510241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 </w:t>
      </w:r>
      <w:r w:rsidR="00E1522B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评定程序</w:t>
      </w:r>
    </w:p>
    <w:p w:rsidR="00540A4E" w:rsidRPr="00234DCD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专业律师评价程序包括</w:t>
      </w:r>
      <w:r w:rsidR="00880817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自主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申报、</w:t>
      </w:r>
      <w:r w:rsidR="00880817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律所考核、组织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评审、公示、颁证</w:t>
      </w:r>
      <w:r w:rsidR="00444DBA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、评定结果运用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等环节。</w:t>
      </w:r>
      <w:r w:rsidR="00EC56E0">
        <w:rPr>
          <w:rFonts w:asciiTheme="minorEastAsia" w:eastAsiaTheme="minorEastAsia" w:hAnsiTheme="minorEastAsia" w:hint="eastAsia"/>
          <w:color w:val="000000"/>
          <w:sz w:val="28"/>
          <w:szCs w:val="28"/>
        </w:rPr>
        <w:t>市律师协会应当在每年律师执业年度考核前发布评审通知或公告，明确参评的时间期限、具体程序、需要提交的材料及接收材料的具体部门等。</w:t>
      </w:r>
    </w:p>
    <w:p w:rsidR="00E35D94" w:rsidRPr="00234DCD" w:rsidRDefault="00E35D94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（一）自主申报。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在每年律师执业年度考核时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，由律师本人对照参评条件，自愿申报参评相应的专业律师，并按规定向律师事务所提交能够反映本人专业水平的证明材料。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证明文件应当真实客观，如涉及国家秘密、商业秘密或个人隐私的，可作区分处理。</w:t>
      </w:r>
      <w:r w:rsidR="00CB1032" w:rsidRPr="00CB1032">
        <w:rPr>
          <w:rFonts w:asciiTheme="minorEastAsia" w:eastAsiaTheme="minorEastAsia" w:hAnsiTheme="minorEastAsia"/>
          <w:color w:val="000000"/>
          <w:sz w:val="28"/>
          <w:szCs w:val="28"/>
        </w:rPr>
        <w:t>诉讼案件应以裁判文书（判决书、调解书或裁决书）或其他具有法律效力的证明材料为依据；非诉讼案件应以委托合同、法律顾问合同或委托书等为依</w:t>
      </w:r>
      <w:r w:rsidR="00CB1032" w:rsidRPr="00CB103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据，担任单位法律顾问的，包含在法律顾问合同中的日常法律事务，不另计案件数量。</w:t>
      </w:r>
    </w:p>
    <w:p w:rsidR="00540A4E" w:rsidRPr="00234DCD" w:rsidRDefault="00E35D94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（二）律所考核。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参评律师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所在律师事务所对申请人的政治表现、诚信状况、执业年限和专业能力等参评条件进行考核后，提出考核意见。律师事务所对申请人的政治表现进行考核时，应当听取律师事务所党组织的意见。参评律师提供的材料涉及多个律师事务所的，应当由所有的律师事务所及其党组织盖章确认。</w:t>
      </w:r>
    </w:p>
    <w:p w:rsidR="00540A4E" w:rsidRPr="00234DCD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参评律师</w:t>
      </w:r>
      <w:r w:rsidR="00E35D94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经律师事务所考核同意后，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应当</w:t>
      </w:r>
      <w:r w:rsidR="00E35D94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向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市律师协会提交以下材料，申报专业律师：</w:t>
      </w:r>
    </w:p>
    <w:p w:rsidR="00540A4E" w:rsidRPr="00234DCD" w:rsidRDefault="00E35D94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在相关专业领域连续执业的证明材料；</w:t>
      </w:r>
    </w:p>
    <w:p w:rsidR="00E35D94" w:rsidRPr="00234DCD" w:rsidRDefault="00E35D94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2.反映本人专业能力的证明材料；</w:t>
      </w:r>
    </w:p>
    <w:p w:rsidR="00540A4E" w:rsidRPr="00234DCD" w:rsidRDefault="00E35D94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3．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所在律师事务所对参评律师的考核意见；</w:t>
      </w:r>
    </w:p>
    <w:p w:rsidR="00E35D94" w:rsidRPr="00234DCD" w:rsidRDefault="00E35D94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4．所在律师事务所党组织意见，律师事务所没有建立党组织的，应当提交律师事务所所在区级行业党组织出具的意见。</w:t>
      </w:r>
    </w:p>
    <w:p w:rsidR="00540A4E" w:rsidRPr="00234DCD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（三）</w:t>
      </w:r>
      <w:r w:rsidR="00E35D94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组织评审。</w:t>
      </w:r>
      <w:r w:rsidR="00E35D94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律师协会在律师执业年度考核工作结束后，组织开展本市律师专业水平评价工作。专业水平评价工作分为</w:t>
      </w:r>
      <w:r w:rsidR="00402C83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书面审查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和</w:t>
      </w:r>
      <w:r w:rsidR="00402C83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现场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评审两个阶段。</w:t>
      </w:r>
    </w:p>
    <w:p w:rsidR="00540A4E" w:rsidRPr="00234DCD" w:rsidRDefault="00596C3A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1.书面审查。根据参评律师专业领</w:t>
      </w:r>
      <w:r w:rsidR="007A1D42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域承办的案件数量、案件复杂程度及相关专业能力证明等材料进行审查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17AA1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书面审查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合格的，方可进入</w:t>
      </w:r>
      <w:r w:rsidR="00217AA1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现场评审环节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540A4E" w:rsidRPr="00234DCD" w:rsidRDefault="00217AA1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lastRenderedPageBreak/>
        <w:t>2.现场评审。</w:t>
      </w:r>
      <w:r w:rsidR="00A61894">
        <w:rPr>
          <w:rFonts w:asciiTheme="minorEastAsia" w:eastAsiaTheme="minorEastAsia" w:hAnsiTheme="minorEastAsia" w:hint="eastAsia"/>
          <w:color w:val="000000"/>
          <w:sz w:val="28"/>
          <w:szCs w:val="28"/>
        </w:rPr>
        <w:t>采用个人陈述、专业面试与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答辩、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案卷抽样评估</w:t>
      </w:r>
      <w:r w:rsidR="00A61894">
        <w:rPr>
          <w:rFonts w:asciiTheme="minorEastAsia" w:eastAsiaTheme="minorEastAsia" w:hAnsiTheme="minorEastAsia" w:hint="eastAsia"/>
          <w:color w:val="000000"/>
          <w:sz w:val="28"/>
          <w:szCs w:val="28"/>
        </w:rPr>
        <w:t>三种方式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进行评审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540A4E" w:rsidRPr="00234DCD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评审环节实行量化积分，满分100分。计分内容包含三部分，个人陈述、专业面试与答辩、</w:t>
      </w:r>
      <w:r w:rsidR="00A61894">
        <w:rPr>
          <w:rFonts w:asciiTheme="minorEastAsia" w:eastAsiaTheme="minorEastAsia" w:hAnsiTheme="minorEastAsia" w:hint="eastAsia"/>
          <w:color w:val="000000"/>
          <w:sz w:val="28"/>
          <w:szCs w:val="28"/>
        </w:rPr>
        <w:t>案卷抽样评估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，各部分比重分别为</w:t>
      </w:r>
      <w:r w:rsidR="00A61894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%、</w:t>
      </w:r>
      <w:r w:rsidR="00A61894">
        <w:rPr>
          <w:rFonts w:asciiTheme="minorEastAsia" w:eastAsiaTheme="minorEastAsia" w:hAnsiTheme="minorEastAsia" w:hint="eastAsia"/>
          <w:color w:val="000000"/>
          <w:sz w:val="28"/>
          <w:szCs w:val="28"/>
        </w:rPr>
        <w:t>60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%、</w:t>
      </w:r>
      <w:r w:rsidR="00A61894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%。评审通过的最低分数线是</w:t>
      </w:r>
      <w:r w:rsidR="00A61894">
        <w:rPr>
          <w:rFonts w:asciiTheme="minorEastAsia" w:eastAsiaTheme="minorEastAsia" w:hAnsiTheme="minorEastAsia" w:hint="eastAsia"/>
          <w:color w:val="000000"/>
          <w:sz w:val="28"/>
          <w:szCs w:val="28"/>
        </w:rPr>
        <w:t>75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分。</w:t>
      </w:r>
    </w:p>
    <w:p w:rsidR="00540A4E" w:rsidRPr="00234DCD" w:rsidRDefault="00A62C2A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（四）公示</w:t>
      </w:r>
      <w:r w:rsid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。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评审通过的，由市律师协会进行公示，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评审不通过的，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市律师协会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书面通知参评律师。</w:t>
      </w:r>
    </w:p>
    <w:p w:rsidR="00540A4E" w:rsidRPr="00234DCD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专业律师评定名单公示的期限为7个工作日，对评定名单有异议的，可向市律师协会提出，</w:t>
      </w:r>
      <w:r w:rsidR="00CB1032">
        <w:rPr>
          <w:rFonts w:asciiTheme="minorEastAsia" w:eastAsiaTheme="minorEastAsia" w:hAnsiTheme="minorEastAsia" w:hint="eastAsia"/>
          <w:color w:val="000000"/>
          <w:sz w:val="28"/>
          <w:szCs w:val="28"/>
        </w:rPr>
        <w:t>市律师协会应当自收到异议申请之日起15个工作日内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提交评审委员会审议</w:t>
      </w:r>
      <w:r w:rsidR="00CB103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，并将复核结果通知参评律师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540A4E" w:rsidRPr="00234DCD" w:rsidRDefault="00A62C2A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（五）颁证</w:t>
      </w:r>
      <w:r w:rsidR="00510241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37372A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经公示无异议的，由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市律师协会</w:t>
      </w:r>
      <w:r w:rsidR="00FD2B9B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制作、颁发专业律师证书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，并</w:t>
      </w:r>
      <w:r w:rsidR="002D2DFF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向市司法局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备案。</w:t>
      </w:r>
    </w:p>
    <w:p w:rsidR="00540A4E" w:rsidRDefault="00444DBA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（六）评定结果运用</w:t>
      </w:r>
      <w:r w:rsidR="00510241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专业律师名单应当在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12348天津法网、天津司法行政网、天津市律师协会等网站及时公开，</w:t>
      </w:r>
      <w:r w:rsidR="00540A4E"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方便社会、个人查询和选聘律师。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优先推荐专业律师进入市律师协会相应的专业委员会，并作为有关部门从律师中选拔立法工作者、法官、检察官，选聘高等院校、科研机构教学、科研岗位职务，选拔培养律师行业领军人才，推荐律师担任党政机关和国有企业法律顾问、服务国家和地方重大工程、重大项目的参考。</w:t>
      </w:r>
    </w:p>
    <w:p w:rsidR="00946A6E" w:rsidRPr="00946A6E" w:rsidRDefault="00946A6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46A6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第五条  专业培训</w:t>
      </w:r>
    </w:p>
    <w:p w:rsidR="00946A6E" w:rsidRDefault="00946A6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46A6E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专业律师每年应当参加律师协会组织的专业培训。结合律师执业年度考核工作,市律师协会每 3年组织对律师专业水平评定结果进行考评,并按照国家有关规定对优秀专业律师予以表彰。</w:t>
      </w:r>
    </w:p>
    <w:p w:rsidR="000679D9" w:rsidRPr="000679D9" w:rsidRDefault="000679D9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0679D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第六条  撤销</w:t>
      </w:r>
      <w:r w:rsidR="00AF45D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与注销</w:t>
      </w:r>
    </w:p>
    <w:p w:rsidR="000679D9" w:rsidRDefault="00AF45D8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F45D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（一）撤销专业律师评定。</w:t>
      </w:r>
      <w:r w:rsidR="000679D9" w:rsidRPr="000679D9">
        <w:rPr>
          <w:rFonts w:asciiTheme="minorEastAsia" w:eastAsiaTheme="minorEastAsia" w:hAnsiTheme="minorEastAsia"/>
          <w:color w:val="000000"/>
          <w:sz w:val="28"/>
          <w:szCs w:val="28"/>
        </w:rPr>
        <w:t>专业律师有下列情形之一的,由</w:t>
      </w:r>
      <w:r w:rsidR="000679D9"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="000679D9" w:rsidRPr="000679D9">
        <w:rPr>
          <w:rFonts w:asciiTheme="minorEastAsia" w:eastAsiaTheme="minorEastAsia" w:hAnsiTheme="minorEastAsia"/>
          <w:color w:val="000000"/>
          <w:sz w:val="28"/>
          <w:szCs w:val="28"/>
        </w:rPr>
        <w:t>律师协会撤销其专业律师称谓,收回其原证书并公告:</w:t>
      </w:r>
    </w:p>
    <w:p w:rsidR="000679D9" w:rsidRDefault="000679D9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679D9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AF45D8"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r w:rsidRPr="000679D9">
        <w:rPr>
          <w:rFonts w:asciiTheme="minorEastAsia" w:eastAsiaTheme="minorEastAsia" w:hAnsiTheme="minorEastAsia"/>
          <w:color w:val="000000"/>
          <w:sz w:val="28"/>
          <w:szCs w:val="28"/>
        </w:rPr>
        <w:t>因执业行为受到党纪处分、行政处罚、行业惩戒或者信用惩戒的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AF45D8" w:rsidRDefault="00AF45D8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2.</w:t>
      </w:r>
      <w:r w:rsidR="000679D9" w:rsidRPr="000679D9">
        <w:rPr>
          <w:rFonts w:asciiTheme="minorEastAsia" w:eastAsiaTheme="minorEastAsia" w:hAnsiTheme="minorEastAsia"/>
          <w:color w:val="000000"/>
          <w:sz w:val="28"/>
          <w:szCs w:val="28"/>
        </w:rPr>
        <w:t>年度考核未达到称职等次的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0679D9" w:rsidRDefault="00AF45D8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3.</w:t>
      </w:r>
      <w:r w:rsidR="000679D9" w:rsidRPr="000679D9">
        <w:rPr>
          <w:rFonts w:asciiTheme="minorEastAsia" w:eastAsiaTheme="minorEastAsia" w:hAnsiTheme="minorEastAsia"/>
          <w:color w:val="000000"/>
          <w:sz w:val="28"/>
          <w:szCs w:val="28"/>
        </w:rPr>
        <w:t>经考评达不到原评定条件的。</w:t>
      </w:r>
    </w:p>
    <w:p w:rsidR="00AF45D8" w:rsidRPr="00234DCD" w:rsidRDefault="00AF45D8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F45D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（二）注销专业律师评定。</w:t>
      </w:r>
      <w:r w:rsidRPr="00AF45D8">
        <w:rPr>
          <w:rFonts w:asciiTheme="minorEastAsia" w:eastAsiaTheme="minorEastAsia" w:hAnsiTheme="minorEastAsia"/>
          <w:color w:val="000000"/>
          <w:sz w:val="28"/>
          <w:szCs w:val="28"/>
        </w:rPr>
        <w:t>注销已有专业律师称谓的,由专业律师向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AF45D8">
        <w:rPr>
          <w:rFonts w:asciiTheme="minorEastAsia" w:eastAsiaTheme="minorEastAsia" w:hAnsiTheme="minorEastAsia"/>
          <w:color w:val="000000"/>
          <w:sz w:val="28"/>
          <w:szCs w:val="28"/>
        </w:rPr>
        <w:t>律师协会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提出书面</w:t>
      </w:r>
      <w:r w:rsidRPr="00AF45D8">
        <w:rPr>
          <w:rFonts w:asciiTheme="minorEastAsia" w:eastAsiaTheme="minorEastAsia" w:hAnsiTheme="minorEastAsia"/>
          <w:color w:val="000000"/>
          <w:sz w:val="28"/>
          <w:szCs w:val="28"/>
        </w:rPr>
        <w:t>申请。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市</w:t>
      </w:r>
      <w:r w:rsidRPr="00AF45D8">
        <w:rPr>
          <w:rFonts w:asciiTheme="minorEastAsia" w:eastAsiaTheme="minorEastAsia" w:hAnsiTheme="minorEastAsia"/>
          <w:color w:val="000000"/>
          <w:sz w:val="28"/>
          <w:szCs w:val="28"/>
        </w:rPr>
        <w:t>律师协会收到注销申请后,应当及时办理,收回其专业律师证书,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并在天津市律师协会</w:t>
      </w:r>
      <w:r w:rsidRPr="00AF45D8">
        <w:rPr>
          <w:rFonts w:asciiTheme="minorEastAsia" w:eastAsiaTheme="minorEastAsia" w:hAnsiTheme="minorEastAsia"/>
          <w:color w:val="000000"/>
          <w:sz w:val="28"/>
          <w:szCs w:val="28"/>
        </w:rPr>
        <w:t>网站进行公示,同 时向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市司法局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备案</w:t>
      </w:r>
      <w:r w:rsidRPr="00AF45D8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905E8B" w:rsidRPr="00510241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第</w:t>
      </w:r>
      <w:r w:rsidR="00DB4AC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七</w:t>
      </w:r>
      <w:r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条</w:t>
      </w:r>
      <w:r w:rsidR="00905E8B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 工作监督</w:t>
      </w:r>
    </w:p>
    <w:p w:rsidR="00540A4E" w:rsidRPr="00234DCD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律师专业评价工作应主动接受司法行政机关和社会监督。</w:t>
      </w:r>
    </w:p>
    <w:p w:rsidR="00905E8B" w:rsidRPr="00510241" w:rsidRDefault="000C6628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第</w:t>
      </w:r>
      <w:r w:rsidR="00DB4AC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八</w:t>
      </w:r>
      <w:r w:rsidR="00540A4E" w:rsidRPr="0051024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条 </w:t>
      </w:r>
      <w:r w:rsidR="00540A4E" w:rsidRPr="0051024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附则</w:t>
      </w:r>
    </w:p>
    <w:p w:rsidR="00540A4E" w:rsidRPr="00234DCD" w:rsidRDefault="00540A4E" w:rsidP="00AC6F44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本规则由</w:t>
      </w:r>
      <w:r w:rsidR="00905E8B">
        <w:rPr>
          <w:rFonts w:asciiTheme="minorEastAsia" w:eastAsiaTheme="minorEastAsia" w:hAnsiTheme="minorEastAsia" w:hint="eastAsia"/>
          <w:color w:val="000000"/>
          <w:sz w:val="28"/>
          <w:szCs w:val="28"/>
        </w:rPr>
        <w:t>天津市律师协会负责解释，自印发之日起</w:t>
      </w:r>
      <w:r w:rsidRPr="00234DCD">
        <w:rPr>
          <w:rFonts w:asciiTheme="minorEastAsia" w:eastAsiaTheme="minorEastAsia" w:hAnsiTheme="minorEastAsia" w:hint="eastAsia"/>
          <w:color w:val="000000"/>
          <w:sz w:val="28"/>
          <w:szCs w:val="28"/>
        </w:rPr>
        <w:t>试行。</w:t>
      </w:r>
    </w:p>
    <w:p w:rsidR="00732C69" w:rsidRPr="00234DCD" w:rsidRDefault="00732C69" w:rsidP="00F90096">
      <w:pPr>
        <w:pStyle w:val="a5"/>
        <w:spacing w:beforeLines="50" w:before="156" w:beforeAutospacing="0" w:afterLines="50" w:after="156" w:afterAutospacing="0" w:line="360" w:lineRule="auto"/>
        <w:ind w:firstLine="42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</w:p>
    <w:sectPr w:rsidR="00732C69" w:rsidRPr="00234DCD" w:rsidSect="00AA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92" w:rsidRDefault="00791D92" w:rsidP="00540A4E">
      <w:r>
        <w:separator/>
      </w:r>
    </w:p>
  </w:endnote>
  <w:endnote w:type="continuationSeparator" w:id="0">
    <w:p w:rsidR="00791D92" w:rsidRDefault="00791D92" w:rsidP="0054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92" w:rsidRDefault="00791D92" w:rsidP="00540A4E">
      <w:r>
        <w:separator/>
      </w:r>
    </w:p>
  </w:footnote>
  <w:footnote w:type="continuationSeparator" w:id="0">
    <w:p w:rsidR="00791D92" w:rsidRDefault="00791D92" w:rsidP="0054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E"/>
    <w:rsid w:val="000146C6"/>
    <w:rsid w:val="00045EFD"/>
    <w:rsid w:val="000679D9"/>
    <w:rsid w:val="000A59FC"/>
    <w:rsid w:val="000C6628"/>
    <w:rsid w:val="001503A4"/>
    <w:rsid w:val="00184F35"/>
    <w:rsid w:val="00203BED"/>
    <w:rsid w:val="00213F32"/>
    <w:rsid w:val="00217AA1"/>
    <w:rsid w:val="00234DCD"/>
    <w:rsid w:val="002D2DFF"/>
    <w:rsid w:val="00312986"/>
    <w:rsid w:val="00347493"/>
    <w:rsid w:val="00361412"/>
    <w:rsid w:val="0037372A"/>
    <w:rsid w:val="00401C76"/>
    <w:rsid w:val="00402030"/>
    <w:rsid w:val="00402C83"/>
    <w:rsid w:val="00444DBA"/>
    <w:rsid w:val="00462710"/>
    <w:rsid w:val="0046301B"/>
    <w:rsid w:val="004903F7"/>
    <w:rsid w:val="00510241"/>
    <w:rsid w:val="00540A4E"/>
    <w:rsid w:val="00596C3A"/>
    <w:rsid w:val="005B161C"/>
    <w:rsid w:val="005F3E27"/>
    <w:rsid w:val="0066418B"/>
    <w:rsid w:val="00692BCE"/>
    <w:rsid w:val="006D0398"/>
    <w:rsid w:val="007276E0"/>
    <w:rsid w:val="00732C69"/>
    <w:rsid w:val="00783955"/>
    <w:rsid w:val="00791D92"/>
    <w:rsid w:val="007A1D42"/>
    <w:rsid w:val="00814824"/>
    <w:rsid w:val="00850E6B"/>
    <w:rsid w:val="00880817"/>
    <w:rsid w:val="00880897"/>
    <w:rsid w:val="008902AE"/>
    <w:rsid w:val="008B0C44"/>
    <w:rsid w:val="008F0853"/>
    <w:rsid w:val="00905E8B"/>
    <w:rsid w:val="00917AF3"/>
    <w:rsid w:val="00946A6E"/>
    <w:rsid w:val="0095365D"/>
    <w:rsid w:val="0096406A"/>
    <w:rsid w:val="009A6512"/>
    <w:rsid w:val="009B3149"/>
    <w:rsid w:val="009F21FB"/>
    <w:rsid w:val="00A61894"/>
    <w:rsid w:val="00A62C2A"/>
    <w:rsid w:val="00AA5B0E"/>
    <w:rsid w:val="00AC6F44"/>
    <w:rsid w:val="00AD76AB"/>
    <w:rsid w:val="00AF45D8"/>
    <w:rsid w:val="00B364BD"/>
    <w:rsid w:val="00B60402"/>
    <w:rsid w:val="00C102A8"/>
    <w:rsid w:val="00CB1032"/>
    <w:rsid w:val="00D05FAA"/>
    <w:rsid w:val="00D2464D"/>
    <w:rsid w:val="00D467DD"/>
    <w:rsid w:val="00D63062"/>
    <w:rsid w:val="00D72B8E"/>
    <w:rsid w:val="00D83A09"/>
    <w:rsid w:val="00DB4ACA"/>
    <w:rsid w:val="00E1522B"/>
    <w:rsid w:val="00E35D94"/>
    <w:rsid w:val="00EC56E0"/>
    <w:rsid w:val="00ED3995"/>
    <w:rsid w:val="00F90096"/>
    <w:rsid w:val="00FB2533"/>
    <w:rsid w:val="00FB5AD8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A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0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0A4E"/>
    <w:rPr>
      <w:b/>
      <w:bCs/>
    </w:rPr>
  </w:style>
  <w:style w:type="character" w:customStyle="1" w:styleId="apple-converted-space">
    <w:name w:val="apple-converted-space"/>
    <w:basedOn w:val="a0"/>
    <w:rsid w:val="0054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A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0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0A4E"/>
    <w:rPr>
      <w:b/>
      <w:bCs/>
    </w:rPr>
  </w:style>
  <w:style w:type="character" w:customStyle="1" w:styleId="apple-converted-space">
    <w:name w:val="apple-converted-space"/>
    <w:basedOn w:val="a0"/>
    <w:rsid w:val="0054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GH</cp:lastModifiedBy>
  <cp:revision>9</cp:revision>
  <dcterms:created xsi:type="dcterms:W3CDTF">2020-05-11T01:23:00Z</dcterms:created>
  <dcterms:modified xsi:type="dcterms:W3CDTF">2020-06-19T08:22:00Z</dcterms:modified>
</cp:coreProperties>
</file>