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
        </w:tabs>
        <w:ind w:right="-240" w:rightChars="-100"/>
        <w:jc w:val="center"/>
        <w:rPr>
          <w:rFonts w:ascii="楷体_GB2312" w:hAnsi="宋体" w:eastAsia="楷体_GB2312"/>
          <w:b/>
          <w:bCs/>
          <w:kern w:val="0"/>
          <w:position w:val="-6"/>
          <w:sz w:val="36"/>
          <w:szCs w:val="36"/>
        </w:rPr>
      </w:pPr>
      <w:bookmarkStart w:id="0" w:name="_Toc82730165"/>
      <w:r>
        <w:rPr>
          <w:rFonts w:hint="eastAsia" w:asciiTheme="majorEastAsia" w:hAnsiTheme="majorEastAsia" w:eastAsiaTheme="majorEastAsia" w:cstheme="majorEastAsia"/>
          <w:b/>
          <w:bCs/>
          <w:kern w:val="0"/>
          <w:position w:val="-6"/>
          <w:sz w:val="44"/>
          <w:szCs w:val="44"/>
        </w:rPr>
        <w:t>体  检  须  知</w:t>
      </w:r>
      <w:r>
        <w:rPr>
          <w:rFonts w:ascii="楷体_GB2312" w:hAnsi="宋体" w:eastAsia="楷体_GB2312"/>
          <w:b/>
          <w:bCs/>
          <w:kern w:val="0"/>
          <w:position w:val="-6"/>
          <w:sz w:val="36"/>
          <w:szCs w:val="36"/>
        </w:rPr>
        <w:t xml:space="preserve"> </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一、体检地址</w:t>
      </w:r>
    </w:p>
    <w:p>
      <w:pPr>
        <w:rPr>
          <w:rFonts w:hint="eastAsia" w:ascii="仿宋" w:hAnsi="仿宋" w:eastAsia="仿宋" w:cs="仿宋"/>
          <w:sz w:val="32"/>
          <w:szCs w:val="32"/>
        </w:rPr>
      </w:pPr>
      <w:r>
        <w:rPr>
          <w:rFonts w:hint="eastAsia" w:ascii="仿宋" w:hAnsi="仿宋" w:eastAsia="仿宋" w:cs="仿宋"/>
          <w:b/>
          <w:bCs/>
          <w:color w:val="000000"/>
          <w:kern w:val="20"/>
          <w:position w:val="-8"/>
          <w:sz w:val="32"/>
          <w:szCs w:val="32"/>
        </w:rPr>
        <w:t>地址1：南开区南京路358号今晚报大厦一层。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预约热线（8：30-16：00）：4001698989</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58989721-58989728转5118或5128</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13212080659李经理</w:t>
      </w:r>
    </w:p>
    <w:p>
      <w:pPr>
        <w:tabs>
          <w:tab w:val="left" w:pos="-105"/>
        </w:tabs>
        <w:ind w:right="-240" w:rightChars="-100"/>
        <w:jc w:val="left"/>
        <w:rPr>
          <w:rFonts w:hint="eastAsia" w:ascii="仿宋" w:hAnsi="仿宋" w:eastAsia="仿宋" w:cs="仿宋"/>
          <w:b/>
          <w:kern w:val="20"/>
          <w:sz w:val="32"/>
          <w:szCs w:val="32"/>
        </w:rPr>
      </w:pPr>
      <w:r>
        <w:rPr>
          <w:rFonts w:hint="eastAsia" w:ascii="仿宋" w:hAnsi="仿宋" w:eastAsia="仿宋" w:cs="仿宋"/>
          <w:b/>
          <w:bCs/>
          <w:sz w:val="32"/>
          <w:szCs w:val="32"/>
        </w:rPr>
        <w:t>地址2：</w:t>
      </w:r>
      <w:r>
        <w:rPr>
          <w:rFonts w:hint="eastAsia" w:ascii="仿宋" w:hAnsi="仿宋" w:eastAsia="仿宋" w:cs="仿宋"/>
          <w:b/>
          <w:kern w:val="20"/>
          <w:sz w:val="32"/>
          <w:szCs w:val="32"/>
        </w:rPr>
        <w:t>天津市和平区解放北路48号津湾广场6号楼6层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预约热线（8：30-16：00）：4001698989</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23219100、23219101、23219102、23219013</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13212080659李经理</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二、体检预约方式、时间</w:t>
      </w:r>
    </w:p>
    <w:p>
      <w:pPr>
        <w:tabs>
          <w:tab w:val="left" w:pos="-105"/>
        </w:tabs>
        <w:ind w:right="-240" w:rightChars="-100" w:firstLine="640" w:firstLineChars="200"/>
        <w:rPr>
          <w:rFonts w:hint="eastAsia" w:ascii="仿宋" w:hAnsi="仿宋" w:eastAsia="仿宋" w:cs="仿宋"/>
          <w:kern w:val="20"/>
          <w:position w:val="-8"/>
          <w:sz w:val="32"/>
          <w:szCs w:val="32"/>
        </w:rPr>
      </w:pPr>
      <w:r>
        <w:rPr>
          <w:rFonts w:hint="eastAsia" w:ascii="仿宋" w:hAnsi="仿宋" w:eastAsia="仿宋" w:cs="仿宋"/>
          <w:kern w:val="20"/>
          <w:position w:val="-8"/>
          <w:sz w:val="32"/>
          <w:szCs w:val="32"/>
        </w:rPr>
        <w:t>天津市律师协会律师及行政人员可通过电话预约的方式进行体检预约。</w:t>
      </w:r>
    </w:p>
    <w:p>
      <w:pPr>
        <w:tabs>
          <w:tab w:val="left" w:pos="-105"/>
        </w:tabs>
        <w:ind w:right="-240" w:rightChars="-100" w:firstLine="640" w:firstLineChars="200"/>
        <w:rPr>
          <w:rFonts w:hint="eastAsia" w:ascii="仿宋" w:hAnsi="仿宋" w:eastAsia="仿宋" w:cs="仿宋"/>
          <w:color w:val="000000" w:themeColor="text1"/>
          <w:kern w:val="20"/>
          <w:position w:val="-8"/>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体检时间：每周二到周日（</w:t>
      </w:r>
      <w:r>
        <w:rPr>
          <w:rFonts w:hint="eastAsia" w:ascii="仿宋" w:hAnsi="仿宋" w:eastAsia="仿宋" w:cs="仿宋"/>
          <w:color w:val="000000" w:themeColor="text1"/>
          <w:sz w:val="32"/>
          <w:szCs w:val="32"/>
          <w:lang w:eastAsia="zh-CN"/>
          <w14:textFill>
            <w14:solidFill>
              <w14:schemeClr w14:val="tx1"/>
            </w14:solidFill>
          </w14:textFill>
        </w:rPr>
        <w:t>法定</w:t>
      </w:r>
      <w:r>
        <w:rPr>
          <w:rFonts w:hint="eastAsia" w:ascii="仿宋" w:hAnsi="仿宋" w:eastAsia="仿宋" w:cs="仿宋"/>
          <w:color w:val="000000" w:themeColor="text1"/>
          <w:sz w:val="32"/>
          <w:szCs w:val="32"/>
          <w:lang w:val="en-US" w:eastAsia="zh-CN"/>
          <w14:textFill>
            <w14:solidFill>
              <w14:schemeClr w14:val="tx1"/>
            </w14:solidFill>
          </w14:textFill>
        </w:rPr>
        <w:t>节假日</w:t>
      </w:r>
      <w:r>
        <w:rPr>
          <w:rFonts w:hint="eastAsia" w:ascii="仿宋" w:hAnsi="仿宋" w:eastAsia="仿宋" w:cs="仿宋"/>
          <w:color w:val="000000" w:themeColor="text1"/>
          <w:sz w:val="32"/>
          <w:szCs w:val="32"/>
          <w14:textFill>
            <w14:solidFill>
              <w14:schemeClr w14:val="tx1"/>
            </w14:solidFill>
          </w14:textFill>
        </w:rPr>
        <w:t>除外）</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三、注意事项如下：</w:t>
      </w:r>
    </w:p>
    <w:p>
      <w:pPr>
        <w:tabs>
          <w:tab w:val="left" w:pos="-105"/>
        </w:tabs>
        <w:ind w:right="-240" w:rightChars="-100"/>
        <w:rPr>
          <w:rFonts w:hint="eastAsia" w:ascii="仿宋" w:hAnsi="仿宋" w:eastAsia="仿宋" w:cs="仿宋"/>
          <w:b/>
          <w:bCs/>
          <w:kern w:val="20"/>
          <w:position w:val="-8"/>
          <w:sz w:val="32"/>
          <w:szCs w:val="32"/>
        </w:rPr>
      </w:pPr>
      <w:r>
        <w:rPr>
          <w:rFonts w:hint="eastAsia" w:ascii="仿宋" w:hAnsi="仿宋" w:eastAsia="仿宋" w:cs="仿宋"/>
          <w:kern w:val="20"/>
          <w:position w:val="-8"/>
          <w:sz w:val="32"/>
          <w:szCs w:val="32"/>
        </w:rPr>
        <w:t>尊敬的宾客</w:t>
      </w:r>
      <w:r>
        <w:rPr>
          <w:rFonts w:hint="eastAsia" w:ascii="仿宋" w:hAnsi="仿宋" w:eastAsia="仿宋" w:cs="仿宋"/>
          <w:b/>
          <w:bCs/>
          <w:kern w:val="20"/>
          <w:position w:val="-8"/>
          <w:sz w:val="32"/>
          <w:szCs w:val="32"/>
        </w:rPr>
        <w:t>：</w:t>
      </w:r>
    </w:p>
    <w:p>
      <w:pPr>
        <w:tabs>
          <w:tab w:val="left" w:pos="-105"/>
        </w:tabs>
        <w:ind w:right="-240" w:rightChars="-100" w:firstLine="796" w:firstLineChars="249"/>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您好！欢迎您光临天津九华体检中心进行健康体检，以下是体检须知，为了您能顺利体检，请您务必仔细阅读。</w:t>
      </w:r>
    </w:p>
    <w:p>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前&gt;</w:t>
      </w:r>
    </w:p>
    <w:p>
      <w:pPr>
        <w:ind w:left="867" w:leftChars="228" w:right="-240" w:rightChars="-100" w:hanging="320" w:hanging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1.体检前三天请注意清淡饮食，不饮酒，不吃海鲜、菠菜、紫菜、猪血等，勿服用对肝、肾功能有损害的药物；</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2.体检前一天晚上20点后请避免进食及剧烈运动，保证充足睡眠，以免影响体检结果；</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3.体检当日早晨，应禁食、禁水；</w:t>
      </w:r>
    </w:p>
    <w:p>
      <w:pPr>
        <w:ind w:left="479" w:right="-240" w:rightChars="-100"/>
        <w:rPr>
          <w:rFonts w:hint="eastAsia" w:ascii="仿宋" w:hAnsi="仿宋" w:eastAsia="仿宋" w:cs="仿宋"/>
          <w:bCs/>
          <w:color w:val="000000"/>
          <w:kern w:val="20"/>
          <w:position w:val="-8"/>
          <w:sz w:val="32"/>
          <w:szCs w:val="32"/>
        </w:rPr>
      </w:pPr>
      <w:r>
        <w:rPr>
          <w:rFonts w:hint="eastAsia" w:ascii="仿宋" w:hAnsi="仿宋" w:eastAsia="仿宋" w:cs="仿宋"/>
          <w:bCs/>
          <w:color w:val="000000"/>
          <w:kern w:val="20"/>
          <w:position w:val="-8"/>
          <w:sz w:val="32"/>
          <w:szCs w:val="32"/>
        </w:rPr>
        <w:t>4.如果您正在妊娠或三个月内有怀孕计划的男士、女士，请不要参加X光线的检查（拍胸片等）；</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5.</w:t>
      </w:r>
      <w:r>
        <w:rPr>
          <w:rFonts w:hint="eastAsia" w:ascii="仿宋" w:hAnsi="仿宋" w:eastAsia="仿宋" w:cs="仿宋"/>
          <w:bCs/>
          <w:color w:val="000000"/>
          <w:kern w:val="20"/>
          <w:position w:val="-8"/>
          <w:sz w:val="32"/>
          <w:szCs w:val="32"/>
        </w:rPr>
        <w:t>未婚女士不参与妇科检查</w:t>
      </w:r>
      <w:r>
        <w:rPr>
          <w:rFonts w:hint="eastAsia" w:ascii="仿宋" w:hAnsi="仿宋" w:eastAsia="仿宋" w:cs="仿宋"/>
          <w:bCs/>
          <w:kern w:val="20"/>
          <w:position w:val="-8"/>
          <w:sz w:val="32"/>
          <w:szCs w:val="32"/>
        </w:rPr>
        <w:t>；</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6.女士若在月经期内，不宜留取尿液标本及妇检，请在前台开具补查单，延期补查;</w:t>
      </w:r>
    </w:p>
    <w:p>
      <w:pPr>
        <w:ind w:left="479" w:right="-240" w:rightChars="-100"/>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7.若行动不便，请家属陪同。</w:t>
      </w:r>
    </w:p>
    <w:p>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中&gt;</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1、请于预定当日早上7:20—9:00至体检中心，在前台处领取体检表；</w:t>
      </w:r>
    </w:p>
    <w:p>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2、如实填写体检表格，若有问题请及时与导检护士沟通；</w:t>
      </w:r>
    </w:p>
    <w:p>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3、请不要携带贵重物品，不要佩带金银首饰，以免丢失；若携带贵重物品，请存入指定位置。</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4、用早餐前，请您先做完空腹B超及采血项目的检查；</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5、如您拒绝某一项检查时，须请您签字认可；</w:t>
      </w:r>
    </w:p>
    <w:p>
      <w:pPr>
        <w:tabs>
          <w:tab w:val="left" w:pos="-105"/>
        </w:tabs>
        <w:ind w:right="-240" w:rightChars="-100" w:firstLine="601"/>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6、体检完毕后，请将体检表交回前台，以便为您建立体检报告。</w:t>
      </w:r>
    </w:p>
    <w:p>
      <w:pPr>
        <w:tabs>
          <w:tab w:val="left" w:pos="-105"/>
        </w:tabs>
        <w:ind w:right="-240" w:rightChars="-100"/>
        <w:jc w:val="left"/>
        <w:rPr>
          <w:rFonts w:hint="eastAsia" w:ascii="仿宋" w:hAnsi="仿宋" w:eastAsia="仿宋" w:cs="仿宋"/>
          <w:b/>
          <w:bCs/>
          <w:kern w:val="20"/>
          <w:position w:val="-8"/>
          <w:sz w:val="32"/>
          <w:szCs w:val="32"/>
        </w:rPr>
      </w:pPr>
      <w:r>
        <w:rPr>
          <w:rFonts w:hint="eastAsia" w:ascii="仿宋" w:hAnsi="仿宋" w:eastAsia="仿宋" w:cs="仿宋"/>
          <w:b/>
          <w:bCs/>
          <w:kern w:val="20"/>
          <w:position w:val="-8"/>
          <w:sz w:val="32"/>
          <w:szCs w:val="32"/>
        </w:rPr>
        <w:t>&lt;体 检 后&gt;</w:t>
      </w:r>
    </w:p>
    <w:p>
      <w:pPr>
        <w:tabs>
          <w:tab w:val="left" w:pos="-105"/>
        </w:tabs>
        <w:ind w:left="1164" w:leftChars="285" w:right="-240" w:rightChars="-100" w:hanging="480" w:hangingChars="15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1、如果体检报告反映出您的健康状况存在问题，请根据医生的建议和指导及时就医，并且合理安排您目前的生活习惯。</w:t>
      </w:r>
    </w:p>
    <w:p>
      <w:pPr>
        <w:tabs>
          <w:tab w:val="left" w:pos="-105"/>
        </w:tabs>
        <w:ind w:left="1324" w:leftChars="285" w:right="-240" w:rightChars="-100" w:hanging="640" w:hangingChars="20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2、</w:t>
      </w:r>
      <w:r>
        <w:rPr>
          <w:rFonts w:hint="eastAsia" w:ascii="仿宋" w:hAnsi="仿宋" w:eastAsia="仿宋" w:cs="仿宋"/>
          <w:bCs/>
          <w:spacing w:val="-4"/>
          <w:kern w:val="20"/>
          <w:position w:val="-8"/>
          <w:sz w:val="32"/>
          <w:szCs w:val="32"/>
        </w:rPr>
        <w:t>如果您此次身体状况良好，请继续保持您的良好生活习惯。</w:t>
      </w:r>
    </w:p>
    <w:p>
      <w:pPr>
        <w:tabs>
          <w:tab w:val="left" w:pos="-105"/>
        </w:tabs>
        <w:ind w:left="1324" w:leftChars="285" w:right="-240" w:rightChars="-100" w:hanging="640" w:hangingChars="200"/>
        <w:jc w:val="left"/>
        <w:rPr>
          <w:rFonts w:hint="eastAsia" w:ascii="仿宋" w:hAnsi="仿宋" w:eastAsia="仿宋" w:cs="仿宋"/>
          <w:bCs/>
          <w:kern w:val="20"/>
          <w:position w:val="-8"/>
          <w:sz w:val="32"/>
          <w:szCs w:val="32"/>
        </w:rPr>
      </w:pPr>
      <w:r>
        <w:rPr>
          <w:rFonts w:hint="eastAsia" w:ascii="仿宋" w:hAnsi="仿宋" w:eastAsia="仿宋" w:cs="仿宋"/>
          <w:bCs/>
          <w:kern w:val="20"/>
          <w:position w:val="-8"/>
          <w:sz w:val="32"/>
          <w:szCs w:val="32"/>
        </w:rPr>
        <w:t>3、请您保存好体检结果，以便查询以及与下次体检结果作对照，也可作为您就医时的辅助资料。</w:t>
      </w:r>
    </w:p>
    <w:p>
      <w:pPr>
        <w:tabs>
          <w:tab w:val="left" w:pos="-105"/>
          <w:tab w:val="left" w:pos="855"/>
        </w:tabs>
        <w:ind w:right="-240" w:rightChars="-100"/>
        <w:jc w:val="left"/>
        <w:rPr>
          <w:rFonts w:hint="eastAsia" w:ascii="仿宋" w:hAnsi="仿宋" w:eastAsia="仿宋" w:cs="仿宋"/>
          <w:b/>
          <w:bCs/>
          <w:sz w:val="32"/>
          <w:szCs w:val="32"/>
        </w:rPr>
      </w:pPr>
      <w:r>
        <w:rPr>
          <w:rFonts w:hint="eastAsia" w:ascii="仿宋" w:hAnsi="仿宋" w:eastAsia="仿宋" w:cs="仿宋"/>
          <w:b/>
          <w:bCs/>
          <w:kern w:val="20"/>
          <w:position w:val="-8"/>
          <w:sz w:val="32"/>
          <w:szCs w:val="32"/>
        </w:rPr>
        <w:t>温馨提示：为了您的体检结果准确，请您仔细阅读以上内容。</w:t>
      </w:r>
    </w:p>
    <w:p>
      <w:pPr>
        <w:rPr>
          <w:rFonts w:hint="eastAsia" w:ascii="仿宋" w:hAnsi="仿宋" w:eastAsia="仿宋" w:cs="仿宋"/>
          <w:b/>
          <w:bCs/>
          <w:sz w:val="32"/>
          <w:szCs w:val="32"/>
        </w:rPr>
      </w:pPr>
      <w:r>
        <w:rPr>
          <w:rFonts w:hint="eastAsia" w:ascii="仿宋" w:hAnsi="仿宋" w:eastAsia="仿宋" w:cs="仿宋"/>
          <w:b/>
          <w:bCs/>
          <w:sz w:val="32"/>
          <w:szCs w:val="32"/>
        </w:rPr>
        <w:t>四、现场加项及家属优惠政策：</w:t>
      </w:r>
    </w:p>
    <w:p>
      <w:pPr>
        <w:tabs>
          <w:tab w:val="left" w:pos="-105"/>
        </w:tabs>
        <w:ind w:right="-240" w:rightChars="-100" w:firstLine="639" w:firstLineChars="199"/>
        <w:jc w:val="left"/>
        <w:rPr>
          <w:rFonts w:hint="eastAsia" w:ascii="宋体" w:eastAsia="仿宋"/>
          <w:b/>
          <w:bCs/>
          <w:kern w:val="20"/>
          <w:position w:val="-8"/>
          <w:lang w:eastAsia="zh-CN"/>
        </w:rPr>
      </w:pPr>
      <w:r>
        <w:rPr>
          <w:rFonts w:hint="eastAsia" w:ascii="仿宋" w:hAnsi="仿宋" w:eastAsia="仿宋" w:cs="仿宋"/>
          <w:b/>
          <w:bCs/>
          <w:kern w:val="20"/>
          <w:position w:val="-8"/>
          <w:sz w:val="32"/>
          <w:szCs w:val="32"/>
        </w:rPr>
        <w:t>若律师本人现场增加体检项目给予门市价五折优惠，其家属体检请提前预约，可享受律师协会同等优惠</w:t>
      </w:r>
      <w:r>
        <w:rPr>
          <w:rFonts w:hint="eastAsia" w:ascii="仿宋" w:hAnsi="仿宋" w:eastAsia="仿宋" w:cs="仿宋"/>
          <w:b/>
          <w:bCs/>
          <w:kern w:val="20"/>
          <w:position w:val="-8"/>
          <w:sz w:val="32"/>
          <w:szCs w:val="32"/>
          <w:lang w:eastAsia="zh-CN"/>
        </w:rPr>
        <w:t>。</w:t>
      </w:r>
    </w:p>
    <w:p>
      <w:pPr>
        <w:pStyle w:val="30"/>
        <w:numPr>
          <w:ilvl w:val="0"/>
          <w:numId w:val="0"/>
        </w:numPr>
        <w:jc w:val="center"/>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2023</w:t>
      </w:r>
      <w:r>
        <w:rPr>
          <w:rFonts w:hint="eastAsia" w:asciiTheme="majorEastAsia" w:hAnsiTheme="majorEastAsia" w:eastAsiaTheme="majorEastAsia" w:cstheme="majorEastAsia"/>
          <w:color w:val="000000" w:themeColor="text1"/>
          <w:sz w:val="21"/>
          <w:szCs w:val="21"/>
          <w14:textFill>
            <w14:solidFill>
              <w14:schemeClr w14:val="tx1"/>
            </w14:solidFill>
          </w14:textFill>
        </w:rPr>
        <w:t>年律协体检套餐基础项（必含项）</w:t>
      </w:r>
      <w:bookmarkEnd w:id="0"/>
    </w:p>
    <w:tbl>
      <w:tblPr>
        <w:tblStyle w:val="14"/>
        <w:tblW w:w="5356" w:type="pct"/>
        <w:tblInd w:w="-41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49"/>
        <w:gridCol w:w="2155"/>
        <w:gridCol w:w="3586"/>
        <w:gridCol w:w="430"/>
        <w:gridCol w:w="15"/>
        <w:gridCol w:w="846"/>
        <w:gridCol w:w="9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trPr>
        <w:tc>
          <w:tcPr>
            <w:tcW w:w="5000" w:type="pct"/>
            <w:gridSpan w:val="7"/>
            <w:vAlign w:val="center"/>
          </w:tcPr>
          <w:p>
            <w:pPr>
              <w:pStyle w:val="28"/>
              <w:ind w:firstLine="3162" w:firstLineChars="1500"/>
              <w:jc w:val="both"/>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lang w:val="en-US" w:eastAsia="zh-CN"/>
                <w14:textFill>
                  <w14:solidFill>
                    <w14:schemeClr w14:val="tx1"/>
                  </w14:solidFill>
                </w14:textFill>
              </w:rPr>
              <w:t>2023</w:t>
            </w:r>
            <w:r>
              <w:rPr>
                <w:rFonts w:hint="eastAsia" w:ascii="仿宋" w:hAnsi="仿宋" w:eastAsia="仿宋" w:cs="仿宋"/>
                <w:b/>
                <w:color w:val="000000" w:themeColor="text1"/>
                <w:sz w:val="21"/>
                <w:szCs w:val="21"/>
                <w14:textFill>
                  <w14:solidFill>
                    <w14:schemeClr w14:val="tx1"/>
                  </w14:solidFill>
                </w14:textFill>
              </w:rPr>
              <w:t>年律协体检套餐基础项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 w:hRule="atLeast"/>
        </w:trPr>
        <w:tc>
          <w:tcPr>
            <w:tcW w:w="1800" w:type="pct"/>
            <w:gridSpan w:val="2"/>
          </w:tcPr>
          <w:p>
            <w:pPr>
              <w:pStyle w:val="28"/>
              <w:jc w:val="center"/>
              <w:rPr>
                <w:rFonts w:hint="eastAsia" w:ascii="仿宋" w:hAnsi="仿宋" w:eastAsia="仿宋" w:cs="仿宋"/>
                <w:sz w:val="21"/>
                <w:szCs w:val="21"/>
              </w:rPr>
            </w:pPr>
          </w:p>
        </w:tc>
        <w:tc>
          <w:tcPr>
            <w:tcW w:w="1954" w:type="pct"/>
          </w:tcPr>
          <w:p>
            <w:pPr>
              <w:pStyle w:val="28"/>
              <w:spacing w:before="158"/>
              <w:ind w:left="85" w:right="50"/>
              <w:jc w:val="center"/>
              <w:rPr>
                <w:rFonts w:hint="eastAsia" w:ascii="仿宋" w:hAnsi="仿宋" w:eastAsia="仿宋" w:cs="仿宋"/>
                <w:b/>
                <w:sz w:val="21"/>
                <w:szCs w:val="21"/>
              </w:rPr>
            </w:pPr>
            <w:r>
              <w:rPr>
                <w:rFonts w:hint="eastAsia" w:ascii="仿宋" w:hAnsi="仿宋" w:eastAsia="仿宋" w:cs="仿宋"/>
                <w:b w:val="0"/>
                <w:bCs/>
                <w:sz w:val="21"/>
                <w:szCs w:val="21"/>
              </w:rPr>
              <w:t>体检项目</w:t>
            </w:r>
          </w:p>
        </w:tc>
        <w:tc>
          <w:tcPr>
            <w:tcW w:w="1245" w:type="pct"/>
            <w:gridSpan w:val="4"/>
          </w:tcPr>
          <w:p>
            <w:pPr>
              <w:pStyle w:val="28"/>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625" w:type="pct"/>
          </w:tcPr>
          <w:p>
            <w:pPr>
              <w:pStyle w:val="28"/>
              <w:spacing w:before="9"/>
              <w:jc w:val="center"/>
              <w:rPr>
                <w:rFonts w:hint="eastAsia" w:ascii="仿宋" w:hAnsi="仿宋" w:eastAsia="仿宋" w:cs="仿宋"/>
                <w:sz w:val="21"/>
                <w:szCs w:val="21"/>
              </w:rPr>
            </w:pPr>
          </w:p>
          <w:p>
            <w:pPr>
              <w:pStyle w:val="28"/>
              <w:spacing w:before="1"/>
              <w:ind w:left="110" w:right="79"/>
              <w:jc w:val="center"/>
              <w:rPr>
                <w:rFonts w:hint="eastAsia" w:ascii="仿宋" w:hAnsi="仿宋" w:eastAsia="仿宋" w:cs="仿宋"/>
                <w:b/>
                <w:sz w:val="21"/>
                <w:szCs w:val="21"/>
              </w:rPr>
            </w:pPr>
            <w:r>
              <w:rPr>
                <w:rFonts w:hint="eastAsia" w:ascii="仿宋" w:hAnsi="仿宋" w:eastAsia="仿宋" w:cs="仿宋"/>
                <w:b/>
                <w:sz w:val="21"/>
                <w:szCs w:val="21"/>
              </w:rPr>
              <w:t>分类</w:t>
            </w:r>
          </w:p>
        </w:tc>
        <w:tc>
          <w:tcPr>
            <w:tcW w:w="1174" w:type="pct"/>
          </w:tcPr>
          <w:p>
            <w:pPr>
              <w:pStyle w:val="28"/>
              <w:spacing w:before="9"/>
              <w:jc w:val="center"/>
              <w:rPr>
                <w:rFonts w:hint="eastAsia" w:ascii="仿宋" w:hAnsi="仿宋" w:eastAsia="仿宋" w:cs="仿宋"/>
                <w:sz w:val="21"/>
                <w:szCs w:val="21"/>
              </w:rPr>
            </w:pPr>
          </w:p>
          <w:p>
            <w:pPr>
              <w:pStyle w:val="28"/>
              <w:spacing w:before="1"/>
              <w:ind w:left="105" w:right="72"/>
              <w:jc w:val="center"/>
              <w:rPr>
                <w:rFonts w:hint="eastAsia" w:ascii="仿宋" w:hAnsi="仿宋" w:eastAsia="仿宋" w:cs="仿宋"/>
                <w:b/>
                <w:sz w:val="21"/>
                <w:szCs w:val="21"/>
              </w:rPr>
            </w:pPr>
            <w:r>
              <w:rPr>
                <w:rFonts w:hint="eastAsia" w:ascii="仿宋" w:hAnsi="仿宋" w:eastAsia="仿宋" w:cs="仿宋"/>
                <w:b/>
                <w:sz w:val="21"/>
                <w:szCs w:val="21"/>
              </w:rPr>
              <w:t>内容</w:t>
            </w:r>
          </w:p>
        </w:tc>
        <w:tc>
          <w:tcPr>
            <w:tcW w:w="1954" w:type="pct"/>
          </w:tcPr>
          <w:p>
            <w:pPr>
              <w:pStyle w:val="28"/>
              <w:spacing w:before="9"/>
              <w:jc w:val="center"/>
              <w:rPr>
                <w:rFonts w:hint="eastAsia" w:ascii="仿宋" w:hAnsi="仿宋" w:eastAsia="仿宋" w:cs="仿宋"/>
                <w:sz w:val="21"/>
                <w:szCs w:val="21"/>
              </w:rPr>
            </w:pPr>
          </w:p>
          <w:p>
            <w:pPr>
              <w:pStyle w:val="28"/>
              <w:spacing w:before="1"/>
              <w:ind w:left="82" w:right="50"/>
              <w:jc w:val="center"/>
              <w:rPr>
                <w:rFonts w:hint="eastAsia" w:ascii="仿宋" w:hAnsi="仿宋" w:eastAsia="仿宋" w:cs="仿宋"/>
                <w:b/>
                <w:sz w:val="21"/>
                <w:szCs w:val="21"/>
              </w:rPr>
            </w:pPr>
            <w:r>
              <w:rPr>
                <w:rFonts w:hint="eastAsia" w:ascii="仿宋" w:hAnsi="仿宋" w:eastAsia="仿宋" w:cs="仿宋"/>
                <w:b/>
                <w:sz w:val="21"/>
                <w:szCs w:val="21"/>
              </w:rPr>
              <w:t>临床意义</w:t>
            </w:r>
          </w:p>
        </w:tc>
        <w:tc>
          <w:tcPr>
            <w:tcW w:w="234" w:type="pct"/>
          </w:tcPr>
          <w:p>
            <w:pPr>
              <w:pStyle w:val="28"/>
              <w:spacing w:before="9"/>
              <w:jc w:val="center"/>
              <w:rPr>
                <w:rFonts w:hint="eastAsia" w:ascii="仿宋" w:hAnsi="仿宋" w:eastAsia="仿宋" w:cs="仿宋"/>
                <w:sz w:val="21"/>
                <w:szCs w:val="21"/>
              </w:rPr>
            </w:pPr>
          </w:p>
          <w:p>
            <w:pPr>
              <w:pStyle w:val="28"/>
              <w:spacing w:before="1"/>
              <w:ind w:right="125"/>
              <w:jc w:val="center"/>
              <w:rPr>
                <w:rFonts w:hint="eastAsia" w:ascii="仿宋" w:hAnsi="仿宋" w:eastAsia="仿宋" w:cs="仿宋"/>
                <w:sz w:val="21"/>
                <w:szCs w:val="21"/>
              </w:rPr>
            </w:pPr>
            <w:r>
              <w:rPr>
                <w:rFonts w:hint="eastAsia" w:ascii="仿宋" w:hAnsi="仿宋" w:eastAsia="仿宋" w:cs="仿宋"/>
                <w:w w:val="99"/>
                <w:sz w:val="21"/>
                <w:szCs w:val="21"/>
              </w:rPr>
              <w:t>男</w:t>
            </w:r>
          </w:p>
        </w:tc>
        <w:tc>
          <w:tcPr>
            <w:tcW w:w="469" w:type="pct"/>
            <w:gridSpan w:val="2"/>
          </w:tcPr>
          <w:p>
            <w:pPr>
              <w:pStyle w:val="28"/>
              <w:spacing w:before="9"/>
              <w:jc w:val="center"/>
              <w:rPr>
                <w:rFonts w:hint="eastAsia" w:ascii="仿宋" w:hAnsi="仿宋" w:eastAsia="仿宋" w:cs="仿宋"/>
                <w:sz w:val="21"/>
                <w:szCs w:val="21"/>
              </w:rPr>
            </w:pPr>
          </w:p>
          <w:p>
            <w:pPr>
              <w:pStyle w:val="28"/>
              <w:spacing w:before="1"/>
              <w:ind w:left="64" w:right="28"/>
              <w:jc w:val="center"/>
              <w:rPr>
                <w:rFonts w:hint="eastAsia" w:ascii="仿宋" w:hAnsi="仿宋" w:eastAsia="仿宋" w:cs="仿宋"/>
                <w:sz w:val="21"/>
                <w:szCs w:val="21"/>
              </w:rPr>
            </w:pPr>
            <w:r>
              <w:rPr>
                <w:rFonts w:hint="eastAsia" w:ascii="仿宋" w:hAnsi="仿宋" w:eastAsia="仿宋" w:cs="仿宋"/>
                <w:sz w:val="21"/>
                <w:szCs w:val="21"/>
              </w:rPr>
              <w:t>女未婚</w:t>
            </w:r>
          </w:p>
        </w:tc>
        <w:tc>
          <w:tcPr>
            <w:tcW w:w="542" w:type="pct"/>
          </w:tcPr>
          <w:p>
            <w:pPr>
              <w:pStyle w:val="28"/>
              <w:spacing w:before="9"/>
              <w:jc w:val="center"/>
              <w:rPr>
                <w:rFonts w:hint="eastAsia" w:ascii="仿宋" w:hAnsi="仿宋" w:eastAsia="仿宋" w:cs="仿宋"/>
                <w:sz w:val="21"/>
                <w:szCs w:val="21"/>
              </w:rPr>
            </w:pPr>
          </w:p>
          <w:p>
            <w:pPr>
              <w:pStyle w:val="28"/>
              <w:spacing w:before="1"/>
              <w:ind w:left="54" w:right="21"/>
              <w:jc w:val="center"/>
              <w:rPr>
                <w:rFonts w:hint="eastAsia" w:ascii="仿宋" w:hAnsi="仿宋" w:eastAsia="仿宋" w:cs="仿宋"/>
                <w:sz w:val="21"/>
                <w:szCs w:val="21"/>
              </w:rPr>
            </w:pPr>
            <w:r>
              <w:rPr>
                <w:rFonts w:hint="eastAsia" w:ascii="仿宋" w:hAnsi="仿宋" w:eastAsia="仿宋" w:cs="仿宋"/>
                <w:sz w:val="21"/>
                <w:szCs w:val="21"/>
              </w:rPr>
              <w:t>女已婚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000" w:type="pct"/>
            <w:gridSpan w:val="7"/>
            <w:shd w:val="clear" w:color="auto" w:fill="FFFF00"/>
          </w:tcPr>
          <w:p>
            <w:pPr>
              <w:pStyle w:val="28"/>
              <w:spacing w:before="14" w:line="222" w:lineRule="exact"/>
              <w:ind w:left="3537" w:right="3300"/>
              <w:jc w:val="center"/>
              <w:rPr>
                <w:rFonts w:hint="eastAsia" w:ascii="仿宋" w:hAnsi="仿宋" w:eastAsia="仿宋" w:cs="仿宋"/>
                <w:b/>
                <w:sz w:val="21"/>
                <w:szCs w:val="21"/>
              </w:rPr>
            </w:pPr>
            <w:r>
              <w:rPr>
                <w:rFonts w:hint="eastAsia" w:ascii="仿宋" w:hAnsi="仿宋" w:eastAsia="仿宋" w:cs="仿宋"/>
                <w:b/>
                <w:sz w:val="21"/>
                <w:szCs w:val="21"/>
              </w:rPr>
              <w:t>科室检查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625" w:type="pct"/>
          </w:tcPr>
          <w:p>
            <w:pPr>
              <w:pStyle w:val="28"/>
              <w:spacing w:before="4"/>
              <w:jc w:val="center"/>
              <w:rPr>
                <w:rFonts w:hint="eastAsia" w:ascii="仿宋" w:hAnsi="仿宋" w:eastAsia="仿宋" w:cs="仿宋"/>
                <w:sz w:val="21"/>
                <w:szCs w:val="21"/>
              </w:rPr>
            </w:pPr>
          </w:p>
          <w:p>
            <w:pPr>
              <w:pStyle w:val="28"/>
              <w:ind w:left="111" w:right="79"/>
              <w:jc w:val="center"/>
              <w:rPr>
                <w:rFonts w:hint="eastAsia" w:ascii="仿宋" w:hAnsi="仿宋" w:eastAsia="仿宋" w:cs="仿宋"/>
                <w:sz w:val="21"/>
                <w:szCs w:val="21"/>
              </w:rPr>
            </w:pPr>
            <w:r>
              <w:rPr>
                <w:rFonts w:hint="eastAsia" w:ascii="仿宋" w:hAnsi="仿宋" w:eastAsia="仿宋" w:cs="仿宋"/>
                <w:sz w:val="21"/>
                <w:szCs w:val="21"/>
              </w:rPr>
              <w:t>一般检查</w:t>
            </w:r>
          </w:p>
        </w:tc>
        <w:tc>
          <w:tcPr>
            <w:tcW w:w="1174" w:type="pct"/>
          </w:tcPr>
          <w:p>
            <w:pPr>
              <w:pStyle w:val="28"/>
              <w:spacing w:before="154" w:line="230" w:lineRule="auto"/>
              <w:ind w:right="226"/>
              <w:jc w:val="center"/>
              <w:rPr>
                <w:rFonts w:hint="eastAsia" w:ascii="仿宋" w:hAnsi="仿宋" w:eastAsia="仿宋" w:cs="仿宋"/>
                <w:sz w:val="21"/>
                <w:szCs w:val="21"/>
              </w:rPr>
            </w:pPr>
            <w:r>
              <w:rPr>
                <w:rFonts w:hint="eastAsia" w:ascii="仿宋" w:hAnsi="仿宋" w:eastAsia="仿宋" w:cs="仿宋"/>
                <w:sz w:val="21"/>
                <w:szCs w:val="21"/>
              </w:rPr>
              <w:t>身高、体重、体重指数、血压（收缩压、舒张压）</w:t>
            </w:r>
          </w:p>
        </w:tc>
        <w:tc>
          <w:tcPr>
            <w:tcW w:w="1954" w:type="pct"/>
          </w:tcPr>
          <w:p>
            <w:pPr>
              <w:pStyle w:val="28"/>
              <w:spacing w:before="154" w:line="230" w:lineRule="auto"/>
              <w:ind w:left="40" w:right="68"/>
              <w:jc w:val="center"/>
              <w:rPr>
                <w:rFonts w:hint="eastAsia" w:ascii="仿宋" w:hAnsi="仿宋" w:eastAsia="仿宋" w:cs="仿宋"/>
                <w:sz w:val="21"/>
                <w:szCs w:val="21"/>
              </w:rPr>
            </w:pPr>
            <w:r>
              <w:rPr>
                <w:rFonts w:hint="eastAsia" w:ascii="仿宋" w:hAnsi="仿宋" w:eastAsia="仿宋" w:cs="仿宋"/>
                <w:sz w:val="21"/>
                <w:szCs w:val="21"/>
              </w:rPr>
              <w:t>通过仪器测量人体基本健康指标。例如：血压是否正常，有无体重偏低、超重或肥胖。</w:t>
            </w:r>
          </w:p>
        </w:tc>
        <w:tc>
          <w:tcPr>
            <w:tcW w:w="242" w:type="pct"/>
            <w:gridSpan w:val="2"/>
          </w:tcPr>
          <w:p>
            <w:pPr>
              <w:pStyle w:val="28"/>
              <w:spacing w:before="4"/>
              <w:jc w:val="center"/>
              <w:rPr>
                <w:rFonts w:hint="eastAsia" w:ascii="仿宋" w:hAnsi="仿宋" w:eastAsia="仿宋" w:cs="仿宋"/>
                <w:sz w:val="21"/>
                <w:szCs w:val="21"/>
              </w:rPr>
            </w:pPr>
          </w:p>
          <w:p>
            <w:pPr>
              <w:pStyle w:val="28"/>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4"/>
              <w:jc w:val="center"/>
              <w:rPr>
                <w:rFonts w:hint="eastAsia" w:ascii="仿宋" w:hAnsi="仿宋" w:eastAsia="仿宋" w:cs="仿宋"/>
                <w:sz w:val="21"/>
                <w:szCs w:val="21"/>
              </w:rPr>
            </w:pPr>
          </w:p>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4"/>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189" w:hRule="atLeast"/>
        </w:trPr>
        <w:tc>
          <w:tcPr>
            <w:tcW w:w="625" w:type="pct"/>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left="111" w:right="79"/>
              <w:jc w:val="center"/>
              <w:rPr>
                <w:rFonts w:hint="eastAsia" w:ascii="仿宋" w:hAnsi="仿宋" w:eastAsia="仿宋" w:cs="仿宋"/>
                <w:sz w:val="21"/>
                <w:szCs w:val="21"/>
              </w:rPr>
            </w:pPr>
            <w:r>
              <w:rPr>
                <w:rFonts w:hint="eastAsia" w:ascii="仿宋" w:hAnsi="仿宋" w:eastAsia="仿宋" w:cs="仿宋"/>
                <w:sz w:val="21"/>
                <w:szCs w:val="21"/>
              </w:rPr>
              <w:t>内科</w:t>
            </w:r>
          </w:p>
        </w:tc>
        <w:tc>
          <w:tcPr>
            <w:tcW w:w="1174" w:type="pct"/>
          </w:tcPr>
          <w:p>
            <w:pPr>
              <w:pStyle w:val="28"/>
              <w:spacing w:before="118" w:line="230" w:lineRule="auto"/>
              <w:ind w:right="72"/>
              <w:jc w:val="center"/>
              <w:rPr>
                <w:rFonts w:hint="eastAsia" w:ascii="仿宋" w:hAnsi="仿宋" w:eastAsia="仿宋" w:cs="仿宋"/>
                <w:sz w:val="21"/>
                <w:szCs w:val="21"/>
              </w:rPr>
            </w:pPr>
            <w:r>
              <w:rPr>
                <w:rFonts w:hint="eastAsia" w:ascii="仿宋" w:hAnsi="仿宋" w:eastAsia="仿宋" w:cs="仿宋"/>
                <w:sz w:val="21"/>
                <w:szCs w:val="21"/>
              </w:rPr>
              <w:t>病史、家族史、心率、心律、心音、肺部听诊、肝脏触诊、脾脏触诊、肾脏叩诊、神经反射：膝反射、内科其它</w:t>
            </w:r>
          </w:p>
        </w:tc>
        <w:tc>
          <w:tcPr>
            <w:tcW w:w="1954" w:type="pct"/>
          </w:tcPr>
          <w:p>
            <w:pPr>
              <w:pStyle w:val="28"/>
              <w:spacing w:before="8"/>
              <w:jc w:val="center"/>
              <w:rPr>
                <w:rFonts w:hint="eastAsia" w:ascii="仿宋" w:hAnsi="仿宋" w:eastAsia="仿宋" w:cs="仿宋"/>
                <w:sz w:val="21"/>
                <w:szCs w:val="21"/>
              </w:rPr>
            </w:pPr>
          </w:p>
          <w:p>
            <w:pPr>
              <w:pStyle w:val="28"/>
              <w:spacing w:line="232" w:lineRule="auto"/>
              <w:ind w:left="40" w:right="116"/>
              <w:jc w:val="center"/>
              <w:rPr>
                <w:rFonts w:hint="eastAsia" w:ascii="仿宋" w:hAnsi="仿宋" w:eastAsia="仿宋" w:cs="仿宋"/>
                <w:sz w:val="21"/>
                <w:szCs w:val="21"/>
              </w:rPr>
            </w:pPr>
            <w:r>
              <w:rPr>
                <w:rFonts w:hint="eastAsia" w:ascii="仿宋" w:hAnsi="仿宋" w:eastAsia="仿宋" w:cs="仿宋"/>
                <w:sz w:val="21"/>
                <w:szCs w:val="21"/>
              </w:rPr>
              <w:t>通过视、触、叩、听检查心、肺、肝、脾等重要脏器的基本状况，发现常见疾病的相关征兆，或初步排除常见疾病。</w:t>
            </w:r>
          </w:p>
        </w:tc>
        <w:tc>
          <w:tcPr>
            <w:tcW w:w="242" w:type="pct"/>
            <w:gridSpan w:val="2"/>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7"/>
              <w:jc w:val="center"/>
              <w:rPr>
                <w:rFonts w:hint="eastAsia" w:ascii="仿宋" w:hAnsi="仿宋" w:eastAsia="仿宋" w:cs="仿宋"/>
                <w:sz w:val="21"/>
                <w:szCs w:val="21"/>
              </w:rPr>
            </w:pPr>
          </w:p>
          <w:p>
            <w:pPr>
              <w:pStyle w:val="28"/>
              <w:spacing w:before="1"/>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2"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
              <w:ind w:right="76" w:firstLine="210" w:firstLineChars="100"/>
              <w:jc w:val="center"/>
              <w:rPr>
                <w:rFonts w:hint="eastAsia" w:ascii="仿宋" w:hAnsi="仿宋" w:eastAsia="仿宋" w:cs="仿宋"/>
                <w:sz w:val="21"/>
                <w:szCs w:val="21"/>
              </w:rPr>
            </w:pPr>
            <w:r>
              <w:rPr>
                <w:rFonts w:hint="eastAsia" w:ascii="仿宋" w:hAnsi="仿宋" w:eastAsia="仿宋" w:cs="仿宋"/>
                <w:sz w:val="21"/>
                <w:szCs w:val="21"/>
              </w:rPr>
              <w:t>男外科</w:t>
            </w:r>
          </w:p>
        </w:tc>
        <w:tc>
          <w:tcPr>
            <w:tcW w:w="1174" w:type="pct"/>
          </w:tcPr>
          <w:p>
            <w:pPr>
              <w:pStyle w:val="28"/>
              <w:spacing w:line="230" w:lineRule="auto"/>
              <w:ind w:right="70"/>
              <w:jc w:val="center"/>
              <w:rPr>
                <w:rFonts w:hint="eastAsia" w:ascii="仿宋" w:hAnsi="仿宋" w:eastAsia="仿宋" w:cs="仿宋"/>
                <w:spacing w:val="-2"/>
                <w:sz w:val="21"/>
                <w:szCs w:val="21"/>
              </w:rPr>
            </w:pPr>
          </w:p>
          <w:p>
            <w:pPr>
              <w:pStyle w:val="28"/>
              <w:spacing w:line="230" w:lineRule="auto"/>
              <w:ind w:right="70"/>
              <w:jc w:val="center"/>
              <w:rPr>
                <w:rFonts w:hint="eastAsia" w:ascii="仿宋" w:hAnsi="仿宋" w:eastAsia="仿宋" w:cs="仿宋"/>
                <w:spacing w:val="-2"/>
                <w:sz w:val="21"/>
                <w:szCs w:val="21"/>
              </w:rPr>
            </w:pPr>
            <w:r>
              <w:rPr>
                <w:rFonts w:hint="eastAsia" w:ascii="仿宋" w:hAnsi="仿宋" w:eastAsia="仿宋" w:cs="仿宋"/>
                <w:spacing w:val="-2"/>
                <w:sz w:val="21"/>
                <w:szCs w:val="21"/>
              </w:rPr>
              <w:t>皮肤、浅表淋巴结（颈部、锁骨上、腋窝、腹股沟）、甲状腺（外科）、脊柱、四肢关节</w:t>
            </w:r>
          </w:p>
          <w:p>
            <w:pPr>
              <w:pStyle w:val="28"/>
              <w:spacing w:line="230" w:lineRule="auto"/>
              <w:ind w:right="70"/>
              <w:jc w:val="center"/>
              <w:rPr>
                <w:rFonts w:hint="eastAsia" w:ascii="仿宋" w:hAnsi="仿宋" w:eastAsia="仿宋" w:cs="仿宋"/>
                <w:sz w:val="21"/>
                <w:szCs w:val="21"/>
              </w:rPr>
            </w:pPr>
            <w:r>
              <w:rPr>
                <w:rFonts w:hint="eastAsia" w:ascii="仿宋" w:hAnsi="仿宋" w:eastAsia="仿宋" w:cs="仿宋"/>
                <w:spacing w:val="-2"/>
                <w:sz w:val="21"/>
                <w:szCs w:val="21"/>
              </w:rPr>
              <w:t>、外生殖器、肛门、直肠指诊、前列腺（外科）、外科其它</w:t>
            </w:r>
          </w:p>
        </w:tc>
        <w:tc>
          <w:tcPr>
            <w:tcW w:w="1954" w:type="pct"/>
          </w:tcPr>
          <w:p>
            <w:pPr>
              <w:pStyle w:val="28"/>
              <w:spacing w:before="1" w:line="232" w:lineRule="auto"/>
              <w:ind w:right="59"/>
              <w:jc w:val="center"/>
              <w:rPr>
                <w:rFonts w:hint="eastAsia" w:ascii="仿宋" w:hAnsi="仿宋" w:eastAsia="仿宋" w:cs="仿宋"/>
                <w:sz w:val="21"/>
                <w:szCs w:val="21"/>
              </w:rPr>
            </w:pPr>
          </w:p>
          <w:p>
            <w:pPr>
              <w:pStyle w:val="28"/>
              <w:spacing w:before="1" w:line="232" w:lineRule="auto"/>
              <w:ind w:left="149" w:leftChars="62" w:right="59" w:firstLine="210" w:firstLineChars="100"/>
              <w:jc w:val="center"/>
              <w:rPr>
                <w:rFonts w:hint="eastAsia" w:ascii="仿宋" w:hAnsi="仿宋" w:eastAsia="仿宋" w:cs="仿宋"/>
                <w:sz w:val="21"/>
                <w:szCs w:val="21"/>
              </w:rPr>
            </w:pPr>
            <w:r>
              <w:rPr>
                <w:rFonts w:hint="eastAsia" w:ascii="仿宋" w:hAnsi="仿宋" w:eastAsia="仿宋" w:cs="仿宋"/>
                <w:sz w:val="21"/>
                <w:szCs w:val="21"/>
              </w:rPr>
              <w:t>通过体格检查，检查男性皮肤、甲状腺、脊柱四肢、前列腺、外生殖器等重要脏器基本 情况，发现常见外科疾病的相关征兆，或初步排除外科常见疾病</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tc>
        <w:tc>
          <w:tcPr>
            <w:tcW w:w="542" w:type="pct"/>
          </w:tcPr>
          <w:p>
            <w:pPr>
              <w:pStyle w:val="28"/>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12"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30"/>
              <w:ind w:left="111" w:right="76"/>
              <w:jc w:val="center"/>
              <w:rPr>
                <w:rFonts w:hint="eastAsia" w:ascii="仿宋" w:hAnsi="仿宋" w:eastAsia="仿宋" w:cs="仿宋"/>
                <w:sz w:val="21"/>
                <w:szCs w:val="21"/>
              </w:rPr>
            </w:pPr>
            <w:r>
              <w:rPr>
                <w:rFonts w:hint="eastAsia" w:ascii="仿宋" w:hAnsi="仿宋" w:eastAsia="仿宋" w:cs="仿宋"/>
                <w:sz w:val="21"/>
                <w:szCs w:val="21"/>
              </w:rPr>
              <w:t>女外科</w:t>
            </w:r>
          </w:p>
        </w:tc>
        <w:tc>
          <w:tcPr>
            <w:tcW w:w="1174" w:type="pct"/>
          </w:tcPr>
          <w:p>
            <w:pPr>
              <w:pStyle w:val="28"/>
              <w:spacing w:before="104" w:line="230" w:lineRule="auto"/>
              <w:ind w:right="72"/>
              <w:jc w:val="center"/>
              <w:rPr>
                <w:rFonts w:hint="eastAsia" w:ascii="仿宋" w:hAnsi="仿宋" w:eastAsia="仿宋" w:cs="仿宋"/>
                <w:sz w:val="21"/>
                <w:szCs w:val="21"/>
              </w:rPr>
            </w:pPr>
            <w:r>
              <w:rPr>
                <w:rFonts w:hint="eastAsia" w:ascii="仿宋" w:hAnsi="仿宋" w:eastAsia="仿宋" w:cs="仿宋"/>
                <w:sz w:val="21"/>
                <w:szCs w:val="21"/>
              </w:rPr>
              <w:t>皮肤、浅表淋巴结（颈部、锁骨上、腋窝、腹股沟）、甲状腺（外科）、乳房、脊柱、四肢关节、肛门、直肠指诊、外科其它</w:t>
            </w:r>
          </w:p>
        </w:tc>
        <w:tc>
          <w:tcPr>
            <w:tcW w:w="1954" w:type="pct"/>
          </w:tcPr>
          <w:p>
            <w:pPr>
              <w:pStyle w:val="28"/>
              <w:spacing w:before="10"/>
              <w:jc w:val="center"/>
              <w:rPr>
                <w:rFonts w:hint="eastAsia" w:ascii="仿宋" w:hAnsi="仿宋" w:eastAsia="仿宋" w:cs="仿宋"/>
                <w:sz w:val="21"/>
                <w:szCs w:val="21"/>
              </w:rPr>
            </w:pPr>
          </w:p>
          <w:p>
            <w:pPr>
              <w:pStyle w:val="28"/>
              <w:spacing w:line="230" w:lineRule="auto"/>
              <w:ind w:right="59" w:firstLine="210" w:firstLineChars="100"/>
              <w:jc w:val="both"/>
              <w:rPr>
                <w:rFonts w:hint="eastAsia" w:ascii="仿宋" w:hAnsi="仿宋" w:eastAsia="仿宋" w:cs="仿宋"/>
                <w:sz w:val="21"/>
                <w:szCs w:val="21"/>
              </w:rPr>
            </w:pPr>
            <w:r>
              <w:rPr>
                <w:rFonts w:hint="eastAsia" w:ascii="仿宋" w:hAnsi="仿宋" w:eastAsia="仿宋" w:cs="仿宋"/>
                <w:sz w:val="21"/>
                <w:szCs w:val="21"/>
              </w:rPr>
              <w:t>通过体格检查，检查女性皮肤、甲状腺、脊柱四肢、乳腺等重要脏器基本情况，发现常 见外科疾病的相关征兆，或初步排除外科常见疾病。</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30"/>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30"/>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4" w:hRule="atLeast"/>
        </w:trPr>
        <w:tc>
          <w:tcPr>
            <w:tcW w:w="625" w:type="pct"/>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left="111" w:right="76"/>
              <w:jc w:val="center"/>
              <w:rPr>
                <w:rFonts w:hint="eastAsia" w:ascii="仿宋" w:hAnsi="仿宋" w:eastAsia="仿宋" w:cs="仿宋"/>
                <w:sz w:val="21"/>
                <w:szCs w:val="21"/>
              </w:rPr>
            </w:pPr>
            <w:r>
              <w:rPr>
                <w:rFonts w:hint="eastAsia" w:ascii="仿宋" w:hAnsi="仿宋" w:eastAsia="仿宋" w:cs="仿宋"/>
                <w:sz w:val="21"/>
                <w:szCs w:val="21"/>
              </w:rPr>
              <w:t>口腔科</w:t>
            </w:r>
          </w:p>
        </w:tc>
        <w:tc>
          <w:tcPr>
            <w:tcW w:w="1174" w:type="pct"/>
          </w:tcPr>
          <w:p>
            <w:pPr>
              <w:pStyle w:val="28"/>
              <w:spacing w:line="230" w:lineRule="auto"/>
              <w:ind w:right="70"/>
              <w:jc w:val="center"/>
              <w:rPr>
                <w:rFonts w:hint="eastAsia" w:ascii="仿宋" w:hAnsi="仿宋" w:eastAsia="仿宋" w:cs="仿宋"/>
                <w:spacing w:val="-2"/>
                <w:sz w:val="21"/>
                <w:szCs w:val="21"/>
              </w:rPr>
            </w:pPr>
          </w:p>
          <w:p>
            <w:pPr>
              <w:pStyle w:val="28"/>
              <w:spacing w:line="230" w:lineRule="auto"/>
              <w:ind w:right="70"/>
              <w:jc w:val="center"/>
              <w:rPr>
                <w:rFonts w:hint="eastAsia" w:ascii="仿宋" w:hAnsi="仿宋" w:eastAsia="仿宋" w:cs="仿宋"/>
                <w:sz w:val="21"/>
                <w:szCs w:val="21"/>
              </w:rPr>
            </w:pPr>
            <w:r>
              <w:rPr>
                <w:rFonts w:hint="eastAsia" w:ascii="仿宋" w:hAnsi="仿宋" w:eastAsia="仿宋" w:cs="仿宋"/>
                <w:spacing w:val="-2"/>
                <w:sz w:val="21"/>
                <w:szCs w:val="21"/>
              </w:rPr>
              <w:t>唇、牙齿、牙周、舌、腭、口腔粘膜、舌下腺、颌下腺、腮腺、颞下颌关节、口腔科其它</w:t>
            </w:r>
          </w:p>
        </w:tc>
        <w:tc>
          <w:tcPr>
            <w:tcW w:w="1954" w:type="pct"/>
          </w:tcPr>
          <w:p>
            <w:pPr>
              <w:pStyle w:val="28"/>
              <w:spacing w:line="232" w:lineRule="auto"/>
              <w:ind w:right="117"/>
              <w:jc w:val="center"/>
              <w:rPr>
                <w:rFonts w:hint="eastAsia" w:ascii="仿宋" w:hAnsi="仿宋" w:eastAsia="仿宋" w:cs="仿宋"/>
                <w:sz w:val="21"/>
                <w:szCs w:val="21"/>
              </w:rPr>
            </w:pPr>
          </w:p>
          <w:p>
            <w:pPr>
              <w:pStyle w:val="28"/>
              <w:spacing w:line="232" w:lineRule="auto"/>
              <w:ind w:right="117"/>
              <w:jc w:val="center"/>
              <w:rPr>
                <w:rFonts w:hint="eastAsia" w:ascii="仿宋" w:hAnsi="仿宋" w:eastAsia="仿宋" w:cs="仿宋"/>
                <w:sz w:val="21"/>
                <w:szCs w:val="21"/>
              </w:rPr>
            </w:pPr>
            <w:r>
              <w:rPr>
                <w:rFonts w:hint="eastAsia" w:ascii="仿宋" w:hAnsi="仿宋" w:eastAsia="仿宋" w:cs="仿宋"/>
                <w:sz w:val="21"/>
                <w:szCs w:val="21"/>
              </w:rPr>
              <w:t>口腔常规检查，全面了解口腔健康状况，及时发现口腔科常见疾病。</w:t>
            </w:r>
          </w:p>
        </w:tc>
        <w:tc>
          <w:tcPr>
            <w:tcW w:w="242" w:type="pct"/>
            <w:gridSpan w:val="2"/>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8"/>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625" w:type="pct"/>
            <w:vMerge w:val="restar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spacing w:before="140"/>
              <w:ind w:left="234"/>
              <w:jc w:val="center"/>
              <w:rPr>
                <w:rFonts w:hint="eastAsia" w:ascii="仿宋" w:hAnsi="仿宋" w:eastAsia="仿宋" w:cs="仿宋"/>
                <w:sz w:val="21"/>
                <w:szCs w:val="21"/>
              </w:rPr>
            </w:pPr>
            <w:r>
              <w:rPr>
                <w:rFonts w:hint="eastAsia" w:ascii="仿宋" w:hAnsi="仿宋" w:eastAsia="仿宋" w:cs="仿宋"/>
                <w:sz w:val="21"/>
                <w:szCs w:val="21"/>
              </w:rPr>
              <w:t>妇科项</w:t>
            </w:r>
          </w:p>
        </w:tc>
        <w:tc>
          <w:tcPr>
            <w:tcW w:w="1174" w:type="pct"/>
          </w:tcPr>
          <w:p>
            <w:pPr>
              <w:pStyle w:val="28"/>
              <w:spacing w:line="230" w:lineRule="auto"/>
              <w:ind w:left="109" w:right="70"/>
              <w:jc w:val="center"/>
              <w:rPr>
                <w:rFonts w:hint="eastAsia" w:ascii="仿宋" w:hAnsi="仿宋" w:eastAsia="仿宋" w:cs="仿宋"/>
                <w:spacing w:val="-2"/>
                <w:sz w:val="21"/>
                <w:szCs w:val="21"/>
              </w:rPr>
            </w:pPr>
          </w:p>
          <w:p>
            <w:pPr>
              <w:pStyle w:val="28"/>
              <w:spacing w:line="230" w:lineRule="auto"/>
              <w:ind w:left="109" w:right="70"/>
              <w:jc w:val="center"/>
              <w:rPr>
                <w:rFonts w:hint="eastAsia" w:ascii="仿宋" w:hAnsi="仿宋" w:eastAsia="仿宋" w:cs="仿宋"/>
                <w:sz w:val="21"/>
                <w:szCs w:val="21"/>
              </w:rPr>
            </w:pPr>
            <w:r>
              <w:rPr>
                <w:rFonts w:hint="eastAsia" w:ascii="仿宋" w:hAnsi="仿宋" w:eastAsia="仿宋" w:cs="仿宋"/>
                <w:spacing w:val="-2"/>
                <w:sz w:val="21"/>
                <w:szCs w:val="21"/>
              </w:rPr>
              <w:t>外阴、阴道、宫颈、子宫、附件、妇科其它</w:t>
            </w:r>
          </w:p>
        </w:tc>
        <w:tc>
          <w:tcPr>
            <w:tcW w:w="1954" w:type="pct"/>
          </w:tcPr>
          <w:p>
            <w:pPr>
              <w:pStyle w:val="28"/>
              <w:spacing w:before="151" w:line="230" w:lineRule="auto"/>
              <w:ind w:left="40" w:right="116"/>
              <w:jc w:val="center"/>
              <w:rPr>
                <w:rFonts w:hint="eastAsia" w:ascii="仿宋" w:hAnsi="仿宋" w:eastAsia="仿宋" w:cs="仿宋"/>
                <w:sz w:val="21"/>
                <w:szCs w:val="21"/>
              </w:rPr>
            </w:pPr>
            <w:r>
              <w:rPr>
                <w:rFonts w:hint="eastAsia" w:ascii="仿宋" w:hAnsi="仿宋" w:eastAsia="仿宋" w:cs="仿宋"/>
                <w:sz w:val="21"/>
                <w:szCs w:val="21"/>
              </w:rPr>
              <w:t>通过触诊及仪器检查方法，发现常见妇科疾 病的相关征兆，或初步排除妇科常见疾病。</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tc>
        <w:tc>
          <w:tcPr>
            <w:tcW w:w="542" w:type="pct"/>
          </w:tcPr>
          <w:p>
            <w:pPr>
              <w:pStyle w:val="28"/>
              <w:spacing w:before="4"/>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ind w:right="72" w:firstLine="1050" w:firstLineChars="500"/>
              <w:jc w:val="center"/>
              <w:rPr>
                <w:rFonts w:hint="eastAsia" w:ascii="仿宋" w:hAnsi="仿宋" w:eastAsia="仿宋" w:cs="仿宋"/>
                <w:sz w:val="21"/>
                <w:szCs w:val="21"/>
              </w:rPr>
            </w:pPr>
          </w:p>
          <w:p>
            <w:pPr>
              <w:pStyle w:val="28"/>
              <w:ind w:right="72" w:firstLine="630" w:firstLineChars="300"/>
              <w:jc w:val="center"/>
              <w:rPr>
                <w:rFonts w:hint="eastAsia" w:ascii="仿宋" w:hAnsi="仿宋" w:eastAsia="仿宋" w:cs="仿宋"/>
                <w:sz w:val="21"/>
                <w:szCs w:val="21"/>
              </w:rPr>
            </w:pPr>
            <w:r>
              <w:rPr>
                <w:rFonts w:hint="eastAsia" w:ascii="仿宋" w:hAnsi="仿宋" w:eastAsia="仿宋" w:cs="仿宋"/>
                <w:sz w:val="21"/>
                <w:szCs w:val="21"/>
              </w:rPr>
              <w:t>白带常规</w:t>
            </w:r>
          </w:p>
        </w:tc>
        <w:tc>
          <w:tcPr>
            <w:tcW w:w="1954" w:type="pct"/>
          </w:tcPr>
          <w:p>
            <w:pPr>
              <w:pStyle w:val="28"/>
              <w:spacing w:before="27" w:line="230" w:lineRule="auto"/>
              <w:ind w:left="40" w:right="68"/>
              <w:jc w:val="center"/>
              <w:rPr>
                <w:rFonts w:hint="eastAsia" w:ascii="仿宋" w:hAnsi="仿宋" w:eastAsia="仿宋" w:cs="仿宋"/>
                <w:sz w:val="21"/>
                <w:szCs w:val="21"/>
              </w:rPr>
            </w:pPr>
            <w:r>
              <w:rPr>
                <w:rFonts w:hint="eastAsia" w:ascii="仿宋" w:hAnsi="仿宋" w:eastAsia="仿宋" w:cs="仿宋"/>
                <w:sz w:val="21"/>
                <w:szCs w:val="21"/>
              </w:rPr>
              <w:t>用于检查阴道内有无滴虫、念珠菌，同时还可确定阴道清洁度，是筛查阴道炎的有效手段。</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tc>
        <w:tc>
          <w:tcPr>
            <w:tcW w:w="542" w:type="pct"/>
          </w:tcPr>
          <w:p>
            <w:pPr>
              <w:pStyle w:val="28"/>
              <w:spacing w:before="1"/>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jc w:val="center"/>
              <w:rPr>
                <w:rFonts w:hint="eastAsia" w:ascii="仿宋" w:hAnsi="仿宋" w:eastAsia="仿宋" w:cs="仿宋"/>
                <w:sz w:val="21"/>
                <w:szCs w:val="21"/>
              </w:rPr>
            </w:pPr>
          </w:p>
          <w:p>
            <w:pPr>
              <w:pStyle w:val="28"/>
              <w:ind w:left="108" w:right="72"/>
              <w:jc w:val="center"/>
              <w:rPr>
                <w:rFonts w:hint="eastAsia" w:ascii="仿宋" w:hAnsi="仿宋" w:eastAsia="仿宋" w:cs="仿宋"/>
                <w:sz w:val="21"/>
                <w:szCs w:val="21"/>
              </w:rPr>
            </w:pPr>
            <w:r>
              <w:rPr>
                <w:rFonts w:hint="eastAsia" w:ascii="仿宋" w:hAnsi="仿宋" w:eastAsia="仿宋" w:cs="仿宋"/>
                <w:sz w:val="21"/>
                <w:szCs w:val="21"/>
              </w:rPr>
              <w:t>宫颈刮片</w:t>
            </w:r>
          </w:p>
        </w:tc>
        <w:tc>
          <w:tcPr>
            <w:tcW w:w="1954" w:type="pct"/>
          </w:tcPr>
          <w:p>
            <w:pPr>
              <w:pStyle w:val="28"/>
              <w:spacing w:before="159" w:line="230" w:lineRule="auto"/>
              <w:ind w:left="40" w:right="118"/>
              <w:jc w:val="center"/>
              <w:rPr>
                <w:rFonts w:hint="eastAsia" w:ascii="仿宋" w:hAnsi="仿宋" w:eastAsia="仿宋" w:cs="仿宋"/>
                <w:sz w:val="21"/>
                <w:szCs w:val="21"/>
              </w:rPr>
            </w:pPr>
            <w:r>
              <w:rPr>
                <w:rFonts w:hint="eastAsia" w:ascii="仿宋" w:hAnsi="仿宋" w:eastAsia="仿宋" w:cs="仿宋"/>
                <w:sz w:val="21"/>
                <w:szCs w:val="21"/>
              </w:rPr>
              <w:t>即子宫颈脱落细胞的巴氏染色检查。是简便易行的早期发现宫颈癌的重要手段。</w:t>
            </w:r>
          </w:p>
        </w:tc>
        <w:tc>
          <w:tcPr>
            <w:tcW w:w="242" w:type="pct"/>
            <w:gridSpan w:val="2"/>
          </w:tcPr>
          <w:p>
            <w:pPr>
              <w:pStyle w:val="28"/>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tc>
        <w:tc>
          <w:tcPr>
            <w:tcW w:w="542" w:type="pct"/>
          </w:tcPr>
          <w:p>
            <w:pPr>
              <w:pStyle w:val="28"/>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 w:hRule="atLeast"/>
        </w:trPr>
        <w:tc>
          <w:tcPr>
            <w:tcW w:w="5000" w:type="pct"/>
            <w:gridSpan w:val="7"/>
            <w:tcBorders>
              <w:bottom w:val="single" w:color="auto" w:sz="4" w:space="0"/>
            </w:tcBorders>
            <w:shd w:val="clear" w:color="auto" w:fill="FFFF00"/>
          </w:tcPr>
          <w:p>
            <w:pPr>
              <w:pStyle w:val="28"/>
              <w:spacing w:before="14" w:line="222" w:lineRule="exact"/>
              <w:ind w:left="3535" w:right="3504"/>
              <w:jc w:val="center"/>
              <w:rPr>
                <w:rFonts w:hint="eastAsia" w:ascii="仿宋" w:hAnsi="仿宋" w:eastAsia="仿宋" w:cs="仿宋"/>
                <w:b/>
                <w:sz w:val="21"/>
                <w:szCs w:val="21"/>
              </w:rPr>
            </w:pPr>
            <w:r>
              <w:rPr>
                <w:rFonts w:hint="eastAsia" w:ascii="仿宋" w:hAnsi="仿宋" w:eastAsia="仿宋" w:cs="仿宋"/>
                <w:b/>
                <w:sz w:val="21"/>
                <w:szCs w:val="21"/>
              </w:rPr>
              <w:t>实验室检查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5" w:type="pct"/>
            <w:vMerge w:val="restart"/>
            <w:tcBorders>
              <w:top w:val="single" w:color="auto" w:sz="4" w:space="0"/>
              <w:left w:val="single" w:color="auto" w:sz="4" w:space="0"/>
              <w:bottom w:val="single" w:color="auto" w:sz="4" w:space="0"/>
              <w:right w:val="single" w:color="auto" w:sz="4" w:space="0"/>
            </w:tcBorders>
            <w:vAlign w:val="center"/>
          </w:tcPr>
          <w:p>
            <w:pPr>
              <w:pStyle w:val="28"/>
              <w:ind w:left="234"/>
              <w:jc w:val="center"/>
              <w:rPr>
                <w:rFonts w:hint="eastAsia" w:ascii="仿宋" w:hAnsi="仿宋" w:eastAsia="仿宋" w:cs="仿宋"/>
                <w:sz w:val="21"/>
                <w:szCs w:val="21"/>
              </w:rPr>
            </w:pPr>
            <w:r>
              <w:rPr>
                <w:rFonts w:hint="eastAsia" w:ascii="仿宋" w:hAnsi="仿宋" w:eastAsia="仿宋" w:cs="仿宋"/>
                <w:sz w:val="21"/>
                <w:szCs w:val="21"/>
              </w:rPr>
              <w:t>血常规</w:t>
            </w:r>
          </w:p>
        </w:tc>
        <w:tc>
          <w:tcPr>
            <w:tcW w:w="1174" w:type="pct"/>
            <w:tcBorders>
              <w:top w:val="single" w:color="auto" w:sz="4" w:space="0"/>
              <w:left w:val="single" w:color="auto" w:sz="4" w:space="0"/>
              <w:bottom w:val="single" w:color="auto" w:sz="4" w:space="0"/>
              <w:right w:val="single" w:color="auto" w:sz="4" w:space="0"/>
            </w:tcBorders>
          </w:tcPr>
          <w:p>
            <w:pPr>
              <w:pStyle w:val="28"/>
              <w:spacing w:before="33" w:line="246"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白细胞计数</w:t>
            </w:r>
          </w:p>
        </w:tc>
        <w:tc>
          <w:tcPr>
            <w:tcW w:w="1954" w:type="pct"/>
            <w:vMerge w:val="restart"/>
            <w:tcBorders>
              <w:top w:val="single" w:color="auto" w:sz="4" w:space="0"/>
              <w:left w:val="single" w:color="auto" w:sz="4" w:space="0"/>
              <w:bottom w:val="single" w:color="auto" w:sz="4" w:space="0"/>
              <w:right w:val="single" w:color="auto" w:sz="4" w:space="0"/>
            </w:tcBorders>
            <w:vAlign w:val="center"/>
          </w:tcPr>
          <w:p>
            <w:pPr>
              <w:pStyle w:val="28"/>
              <w:spacing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通过血常规检查发现血液方面的问题，评价骨髓功能，有助于临床急慢性感染，病毒性疾病的判断；有助于了解有无贫血及贫血分类；有助于出血性疾病的诊断等。</w:t>
            </w:r>
          </w:p>
        </w:tc>
        <w:tc>
          <w:tcPr>
            <w:tcW w:w="242" w:type="pct"/>
            <w:gridSpan w:val="2"/>
            <w:vMerge w:val="restart"/>
            <w:tcBorders>
              <w:top w:val="single" w:color="auto" w:sz="4" w:space="0"/>
              <w:left w:val="single" w:color="auto" w:sz="4" w:space="0"/>
              <w:bottom w:val="single" w:color="auto" w:sz="4" w:space="0"/>
              <w:right w:val="single" w:color="auto" w:sz="4" w:space="0"/>
            </w:tcBorders>
            <w:vAlign w:val="center"/>
          </w:tcPr>
          <w:p>
            <w:pPr>
              <w:pStyle w:val="28"/>
              <w:ind w:left="26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Borders>
              <w:top w:val="single" w:color="auto" w:sz="4" w:space="0"/>
              <w:left w:val="single" w:color="auto" w:sz="4" w:space="0"/>
              <w:bottom w:val="single" w:color="auto" w:sz="4" w:space="0"/>
              <w:right w:val="single" w:color="auto" w:sz="4" w:space="0"/>
            </w:tcBorders>
            <w:vAlign w:val="center"/>
          </w:tcPr>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Borders>
              <w:top w:val="single" w:color="auto" w:sz="4" w:space="0"/>
              <w:left w:val="single" w:color="auto" w:sz="4" w:space="0"/>
              <w:bottom w:val="single" w:color="auto" w:sz="4" w:space="0"/>
              <w:right w:val="single" w:color="auto" w:sz="4" w:space="0"/>
            </w:tcBorders>
            <w:vAlign w:val="center"/>
          </w:tcPr>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52"/>
              <w:ind w:left="109" w:right="72"/>
              <w:jc w:val="center"/>
              <w:rPr>
                <w:rFonts w:hint="eastAsia" w:ascii="仿宋" w:hAnsi="仿宋" w:eastAsia="仿宋" w:cs="仿宋"/>
                <w:sz w:val="21"/>
                <w:szCs w:val="21"/>
              </w:rPr>
            </w:pPr>
            <w:r>
              <w:rPr>
                <w:rFonts w:hint="eastAsia" w:ascii="仿宋" w:hAnsi="仿宋" w:eastAsia="仿宋" w:cs="仿宋"/>
                <w:sz w:val="21"/>
                <w:szCs w:val="21"/>
              </w:rPr>
              <w:t>红细胞计数</w:t>
            </w:r>
          </w:p>
        </w:tc>
        <w:tc>
          <w:tcPr>
            <w:tcW w:w="1954" w:type="pct"/>
            <w:vMerge w:val="continue"/>
            <w:tcBorders>
              <w:top w:val="single" w:color="auto" w:sz="4" w:space="0"/>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52"/>
              <w:ind w:left="109" w:right="72"/>
              <w:jc w:val="center"/>
              <w:rPr>
                <w:rFonts w:hint="eastAsia" w:ascii="仿宋" w:hAnsi="仿宋" w:eastAsia="仿宋" w:cs="仿宋"/>
                <w:sz w:val="21"/>
                <w:szCs w:val="21"/>
              </w:rPr>
            </w:pPr>
            <w:r>
              <w:rPr>
                <w:rFonts w:hint="eastAsia" w:ascii="仿宋" w:hAnsi="仿宋" w:eastAsia="仿宋" w:cs="仿宋"/>
                <w:sz w:val="21"/>
                <w:szCs w:val="21"/>
              </w:rPr>
              <w:t>血红蛋白量</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1" w:line="250"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红细胞比积</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59"/>
              <w:ind w:left="109" w:right="72"/>
              <w:jc w:val="center"/>
              <w:rPr>
                <w:rFonts w:hint="eastAsia" w:ascii="仿宋" w:hAnsi="仿宋" w:eastAsia="仿宋" w:cs="仿宋"/>
                <w:sz w:val="21"/>
                <w:szCs w:val="21"/>
              </w:rPr>
            </w:pPr>
            <w:r>
              <w:rPr>
                <w:rFonts w:hint="eastAsia" w:ascii="仿宋" w:hAnsi="仿宋" w:eastAsia="仿宋" w:cs="仿宋"/>
                <w:sz w:val="21"/>
                <w:szCs w:val="21"/>
              </w:rPr>
              <w:t>平均红细胞体积</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60"/>
              <w:ind w:left="109" w:right="72"/>
              <w:jc w:val="center"/>
              <w:rPr>
                <w:rFonts w:hint="eastAsia" w:ascii="仿宋" w:hAnsi="仿宋" w:eastAsia="仿宋" w:cs="仿宋"/>
                <w:sz w:val="21"/>
                <w:szCs w:val="21"/>
              </w:rPr>
            </w:pPr>
            <w:r>
              <w:rPr>
                <w:rFonts w:hint="eastAsia" w:ascii="仿宋" w:hAnsi="仿宋" w:eastAsia="仿宋" w:cs="仿宋"/>
                <w:sz w:val="21"/>
                <w:szCs w:val="21"/>
              </w:rPr>
              <w:t>平均红细胞血红蛋白含量</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83"/>
              <w:ind w:left="109" w:right="72"/>
              <w:jc w:val="center"/>
              <w:rPr>
                <w:rFonts w:hint="eastAsia" w:ascii="仿宋" w:hAnsi="仿宋" w:eastAsia="仿宋" w:cs="仿宋"/>
                <w:sz w:val="21"/>
                <w:szCs w:val="21"/>
              </w:rPr>
            </w:pPr>
            <w:r>
              <w:rPr>
                <w:rFonts w:hint="eastAsia" w:ascii="仿宋" w:hAnsi="仿宋" w:eastAsia="仿宋" w:cs="仿宋"/>
                <w:sz w:val="21"/>
                <w:szCs w:val="21"/>
              </w:rPr>
              <w:t>平均红细胞血红蛋白浓度</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0" w:line="251" w:lineRule="exact"/>
              <w:ind w:left="107" w:right="72"/>
              <w:jc w:val="center"/>
              <w:rPr>
                <w:rFonts w:hint="eastAsia" w:ascii="仿宋" w:hAnsi="仿宋" w:eastAsia="仿宋" w:cs="仿宋"/>
                <w:sz w:val="21"/>
                <w:szCs w:val="21"/>
              </w:rPr>
            </w:pPr>
            <w:r>
              <w:rPr>
                <w:rFonts w:hint="eastAsia" w:ascii="仿宋" w:hAnsi="仿宋" w:eastAsia="仿宋" w:cs="仿宋"/>
                <w:sz w:val="21"/>
                <w:szCs w:val="21"/>
              </w:rPr>
              <w:t>红细胞分布宽度-变异系数</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6"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 w:line="21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血小板计数</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平均血小板体积</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血小板分布宽度</w:t>
            </w:r>
          </w:p>
        </w:tc>
        <w:tc>
          <w:tcPr>
            <w:tcW w:w="1954" w:type="pct"/>
            <w:vMerge w:val="continue"/>
            <w:tcBorders>
              <w:left w:val="single" w:color="auto" w:sz="4" w:space="0"/>
              <w:right w:val="single" w:color="auto" w:sz="4" w:space="0"/>
            </w:tcBorders>
          </w:tcPr>
          <w:p>
            <w:pPr>
              <w:pStyle w:val="28"/>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pStyle w:val="28"/>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淋巴细胞百分比</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中间细胞百分比</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34" w:line="245" w:lineRule="exact"/>
              <w:ind w:left="106" w:right="72"/>
              <w:jc w:val="center"/>
              <w:rPr>
                <w:rFonts w:hint="eastAsia" w:ascii="仿宋" w:hAnsi="仿宋" w:eastAsia="仿宋" w:cs="仿宋"/>
                <w:sz w:val="21"/>
                <w:szCs w:val="21"/>
              </w:rPr>
            </w:pPr>
            <w:r>
              <w:rPr>
                <w:rFonts w:hint="eastAsia" w:ascii="仿宋" w:hAnsi="仿宋" w:eastAsia="仿宋" w:cs="仿宋"/>
                <w:sz w:val="21"/>
                <w:szCs w:val="21"/>
              </w:rPr>
              <w:t>中性粒细胞百分比</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40" w:line="25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淋巴细胞绝对值</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83"/>
              <w:ind w:left="109" w:right="72"/>
              <w:jc w:val="center"/>
              <w:rPr>
                <w:rFonts w:hint="eastAsia" w:ascii="仿宋" w:hAnsi="仿宋" w:eastAsia="仿宋" w:cs="仿宋"/>
                <w:sz w:val="21"/>
                <w:szCs w:val="21"/>
              </w:rPr>
            </w:pPr>
            <w:r>
              <w:rPr>
                <w:rFonts w:hint="eastAsia" w:ascii="仿宋" w:hAnsi="仿宋" w:eastAsia="仿宋" w:cs="仿宋"/>
                <w:sz w:val="21"/>
                <w:szCs w:val="21"/>
              </w:rPr>
              <w:t>中间细胞绝对值</w:t>
            </w:r>
          </w:p>
        </w:tc>
        <w:tc>
          <w:tcPr>
            <w:tcW w:w="1954" w:type="pct"/>
            <w:vMerge w:val="continue"/>
            <w:tcBorders>
              <w:left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625"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1174" w:type="pct"/>
            <w:tcBorders>
              <w:top w:val="single" w:color="auto" w:sz="4" w:space="0"/>
              <w:left w:val="single" w:color="auto" w:sz="4" w:space="0"/>
              <w:bottom w:val="single" w:color="auto" w:sz="4" w:space="0"/>
              <w:right w:val="single" w:color="auto" w:sz="4" w:space="0"/>
            </w:tcBorders>
          </w:tcPr>
          <w:p>
            <w:pPr>
              <w:pStyle w:val="28"/>
              <w:spacing w:before="64"/>
              <w:ind w:left="106" w:right="72"/>
              <w:jc w:val="center"/>
              <w:rPr>
                <w:rFonts w:hint="eastAsia" w:ascii="仿宋" w:hAnsi="仿宋" w:eastAsia="仿宋" w:cs="仿宋"/>
                <w:sz w:val="21"/>
                <w:szCs w:val="21"/>
              </w:rPr>
            </w:pPr>
            <w:r>
              <w:rPr>
                <w:rFonts w:hint="eastAsia" w:ascii="仿宋" w:hAnsi="仿宋" w:eastAsia="仿宋" w:cs="仿宋"/>
                <w:sz w:val="21"/>
                <w:szCs w:val="21"/>
              </w:rPr>
              <w:t>中性粒细胞绝对值</w:t>
            </w:r>
          </w:p>
        </w:tc>
        <w:tc>
          <w:tcPr>
            <w:tcW w:w="1954" w:type="pct"/>
            <w:vMerge w:val="continue"/>
            <w:tcBorders>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242" w:type="pct"/>
            <w:gridSpan w:val="2"/>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460"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c>
          <w:tcPr>
            <w:tcW w:w="542" w:type="pct"/>
            <w:vMerge w:val="continue"/>
            <w:tcBorders>
              <w:top w:val="single" w:color="auto" w:sz="4" w:space="0"/>
              <w:left w:val="single" w:color="auto" w:sz="4" w:space="0"/>
              <w:bottom w:val="single" w:color="auto" w:sz="4" w:space="0"/>
              <w:right w:val="single" w:color="auto" w:sz="4" w:space="0"/>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restart"/>
            <w:tcBorders>
              <w:top w:val="single" w:color="auto" w:sz="4" w:space="0"/>
            </w:tcBorders>
          </w:tcPr>
          <w:p>
            <w:pPr>
              <w:pStyle w:val="28"/>
              <w:ind w:left="234"/>
              <w:jc w:val="center"/>
              <w:rPr>
                <w:rFonts w:hint="eastAsia" w:ascii="仿宋" w:hAnsi="仿宋" w:eastAsia="仿宋" w:cs="仿宋"/>
                <w:sz w:val="21"/>
                <w:szCs w:val="21"/>
              </w:rPr>
            </w:pPr>
            <w:bookmarkStart w:id="1" w:name="_Hlk86785501"/>
          </w:p>
          <w:p>
            <w:pPr>
              <w:pStyle w:val="28"/>
              <w:ind w:left="234"/>
              <w:jc w:val="center"/>
              <w:rPr>
                <w:rFonts w:hint="eastAsia" w:ascii="仿宋" w:hAnsi="仿宋" w:eastAsia="仿宋" w:cs="仿宋"/>
                <w:sz w:val="21"/>
                <w:szCs w:val="21"/>
              </w:rPr>
            </w:pPr>
          </w:p>
          <w:p>
            <w:pPr>
              <w:pStyle w:val="28"/>
              <w:ind w:left="234"/>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sz w:val="21"/>
                <w:szCs w:val="21"/>
              </w:rPr>
              <w:t>尿常规</w:t>
            </w:r>
          </w:p>
        </w:tc>
        <w:tc>
          <w:tcPr>
            <w:tcW w:w="1174" w:type="pct"/>
            <w:tcBorders>
              <w:top w:val="single" w:color="auto" w:sz="4" w:space="0"/>
            </w:tcBorders>
          </w:tcPr>
          <w:p>
            <w:pPr>
              <w:pStyle w:val="28"/>
              <w:spacing w:before="21" w:line="232"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尿酸碱度</w:t>
            </w:r>
          </w:p>
        </w:tc>
        <w:tc>
          <w:tcPr>
            <w:tcW w:w="1954" w:type="pct"/>
            <w:vMerge w:val="restart"/>
            <w:tcBorders>
              <w:top w:val="single" w:color="auto" w:sz="4" w:space="0"/>
            </w:tcBorders>
          </w:tcPr>
          <w:p>
            <w:pPr>
              <w:pStyle w:val="28"/>
              <w:spacing w:line="230" w:lineRule="auto"/>
              <w:ind w:left="40" w:right="69"/>
              <w:jc w:val="center"/>
              <w:rPr>
                <w:rFonts w:hint="eastAsia" w:ascii="仿宋" w:hAnsi="仿宋" w:eastAsia="仿宋" w:cs="仿宋"/>
                <w:w w:val="95"/>
                <w:sz w:val="21"/>
                <w:szCs w:val="21"/>
              </w:rPr>
            </w:pPr>
          </w:p>
          <w:p>
            <w:pPr>
              <w:pStyle w:val="28"/>
              <w:spacing w:line="230" w:lineRule="auto"/>
              <w:ind w:left="40" w:right="69"/>
              <w:jc w:val="center"/>
              <w:rPr>
                <w:rFonts w:hint="eastAsia" w:ascii="仿宋" w:hAnsi="仿宋" w:eastAsia="仿宋" w:cs="仿宋"/>
                <w:w w:val="95"/>
                <w:sz w:val="21"/>
                <w:szCs w:val="21"/>
              </w:rPr>
            </w:pPr>
          </w:p>
          <w:p>
            <w:pPr>
              <w:pStyle w:val="28"/>
              <w:spacing w:line="230" w:lineRule="auto"/>
              <w:ind w:left="40" w:right="69"/>
              <w:jc w:val="center"/>
              <w:rPr>
                <w:rFonts w:hint="eastAsia" w:ascii="仿宋" w:hAnsi="仿宋" w:eastAsia="仿宋" w:cs="仿宋"/>
                <w:sz w:val="21"/>
                <w:szCs w:val="21"/>
              </w:rPr>
            </w:pPr>
            <w:r>
              <w:rPr>
                <w:rFonts w:hint="eastAsia" w:ascii="仿宋" w:hAnsi="仿宋" w:eastAsia="仿宋" w:cs="仿宋"/>
                <w:w w:val="95"/>
                <w:sz w:val="21"/>
                <w:szCs w:val="21"/>
              </w:rPr>
              <w:t>通过尿常规检查，对泌尿系疾病的诊断、疗效观察有重要意义。尿糖检查是作为糖尿病筛查和病情判断的指标。并可观察一些全身性疾病的异常表现。以显微镜观察尿沉淀物，发现细胞、管型、结晶、细菌、寄生虫等病理成分，对泌尿系统疾病作定位及鉴别诊断、预后判断。</w:t>
            </w:r>
          </w:p>
        </w:tc>
        <w:tc>
          <w:tcPr>
            <w:tcW w:w="242" w:type="pct"/>
            <w:gridSpan w:val="2"/>
            <w:vMerge w:val="restart"/>
            <w:tcBorders>
              <w:top w:val="single" w:color="auto" w:sz="4" w:space="0"/>
            </w:tcBorders>
            <w:vAlign w:val="center"/>
          </w:tcPr>
          <w:p>
            <w:pPr>
              <w:pStyle w:val="28"/>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Borders>
              <w:top w:val="single" w:color="auto" w:sz="4" w:space="0"/>
            </w:tcBorders>
            <w:vAlign w:val="center"/>
          </w:tcPr>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Borders>
              <w:top w:val="single" w:color="auto" w:sz="4" w:space="0"/>
            </w:tcBorders>
            <w:vAlign w:val="center"/>
          </w:tcPr>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bookmarkEnd w:id="1"/>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2"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尿白细胞</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尿亚硝酸盐</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尿蛋白质</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尿糖</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尿酮体</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2"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尿胆原</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8" w:right="72"/>
              <w:jc w:val="center"/>
              <w:rPr>
                <w:rFonts w:hint="eastAsia" w:ascii="仿宋" w:hAnsi="仿宋" w:eastAsia="仿宋" w:cs="仿宋"/>
                <w:sz w:val="21"/>
                <w:szCs w:val="21"/>
              </w:rPr>
            </w:pPr>
            <w:r>
              <w:rPr>
                <w:rFonts w:hint="eastAsia" w:ascii="仿宋" w:hAnsi="仿宋" w:eastAsia="仿宋" w:cs="仿宋"/>
                <w:sz w:val="21"/>
                <w:szCs w:val="21"/>
              </w:rPr>
              <w:t>尿胆红素</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尿隐血</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625" w:type="pct"/>
            <w:vMerge w:val="continue"/>
          </w:tcPr>
          <w:p>
            <w:pPr>
              <w:pStyle w:val="28"/>
              <w:ind w:left="234"/>
              <w:jc w:val="center"/>
              <w:rPr>
                <w:rFonts w:hint="eastAsia" w:ascii="仿宋" w:hAnsi="仿宋" w:eastAsia="仿宋" w:cs="仿宋"/>
                <w:sz w:val="21"/>
                <w:szCs w:val="21"/>
              </w:rPr>
            </w:pPr>
          </w:p>
        </w:tc>
        <w:tc>
          <w:tcPr>
            <w:tcW w:w="1174" w:type="pct"/>
          </w:tcPr>
          <w:p>
            <w:pPr>
              <w:pStyle w:val="28"/>
              <w:spacing w:before="21" w:line="231" w:lineRule="exact"/>
              <w:ind w:left="109" w:right="72"/>
              <w:jc w:val="center"/>
              <w:rPr>
                <w:rFonts w:hint="eastAsia" w:ascii="仿宋" w:hAnsi="仿宋" w:eastAsia="仿宋" w:cs="仿宋"/>
                <w:sz w:val="21"/>
                <w:szCs w:val="21"/>
              </w:rPr>
            </w:pPr>
            <w:r>
              <w:rPr>
                <w:rFonts w:hint="eastAsia" w:ascii="仿宋" w:hAnsi="仿宋" w:eastAsia="仿宋" w:cs="仿宋"/>
                <w:sz w:val="21"/>
                <w:szCs w:val="21"/>
              </w:rPr>
              <w:t>尿镜检蛋白定性</w:t>
            </w:r>
          </w:p>
        </w:tc>
        <w:tc>
          <w:tcPr>
            <w:tcW w:w="1954" w:type="pct"/>
            <w:vMerge w:val="continue"/>
          </w:tcPr>
          <w:p>
            <w:pPr>
              <w:pStyle w:val="28"/>
              <w:spacing w:line="230" w:lineRule="auto"/>
              <w:ind w:left="40" w:right="69"/>
              <w:jc w:val="center"/>
              <w:rPr>
                <w:rFonts w:hint="eastAsia" w:ascii="仿宋" w:hAnsi="仿宋" w:eastAsia="仿宋" w:cs="仿宋"/>
                <w:sz w:val="21"/>
                <w:szCs w:val="21"/>
              </w:rPr>
            </w:pPr>
          </w:p>
        </w:tc>
        <w:tc>
          <w:tcPr>
            <w:tcW w:w="242" w:type="pct"/>
            <w:gridSpan w:val="2"/>
            <w:vMerge w:val="continue"/>
          </w:tcPr>
          <w:p>
            <w:pPr>
              <w:pStyle w:val="28"/>
              <w:ind w:left="261"/>
              <w:jc w:val="center"/>
              <w:rPr>
                <w:rFonts w:hint="eastAsia" w:ascii="仿宋" w:hAnsi="仿宋" w:eastAsia="仿宋" w:cs="仿宋"/>
                <w:sz w:val="21"/>
                <w:szCs w:val="21"/>
              </w:rPr>
            </w:pPr>
          </w:p>
        </w:tc>
        <w:tc>
          <w:tcPr>
            <w:tcW w:w="460" w:type="pct"/>
            <w:vMerge w:val="continue"/>
          </w:tcPr>
          <w:p>
            <w:pPr>
              <w:pStyle w:val="28"/>
              <w:ind w:left="32"/>
              <w:jc w:val="center"/>
              <w:rPr>
                <w:rFonts w:hint="eastAsia" w:ascii="仿宋" w:hAnsi="仿宋" w:eastAsia="仿宋" w:cs="仿宋"/>
                <w:sz w:val="21"/>
                <w:szCs w:val="21"/>
              </w:rPr>
            </w:pPr>
          </w:p>
        </w:tc>
        <w:tc>
          <w:tcPr>
            <w:tcW w:w="542" w:type="pct"/>
            <w:vMerge w:val="continue"/>
          </w:tcPr>
          <w:p>
            <w:pPr>
              <w:pStyle w:val="28"/>
              <w:ind w:left="33"/>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5" w:type="pct"/>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sz w:val="21"/>
                <w:szCs w:val="21"/>
              </w:rPr>
              <w:t>肝功三项</w:t>
            </w:r>
          </w:p>
        </w:tc>
        <w:tc>
          <w:tcPr>
            <w:tcW w:w="1174" w:type="pct"/>
          </w:tcPr>
          <w:p>
            <w:pPr>
              <w:pStyle w:val="28"/>
              <w:spacing w:before="98"/>
              <w:ind w:left="106" w:right="72"/>
              <w:jc w:val="center"/>
              <w:rPr>
                <w:rFonts w:hint="eastAsia" w:ascii="仿宋" w:hAnsi="仿宋" w:eastAsia="仿宋" w:cs="仿宋"/>
                <w:sz w:val="21"/>
                <w:szCs w:val="21"/>
              </w:rPr>
            </w:pPr>
            <w:r>
              <w:rPr>
                <w:rFonts w:hint="eastAsia" w:ascii="仿宋" w:hAnsi="仿宋" w:eastAsia="仿宋" w:cs="仿宋"/>
                <w:sz w:val="21"/>
                <w:szCs w:val="21"/>
              </w:rPr>
              <w:t>丙氨酸氨基转移酶</w:t>
            </w:r>
          </w:p>
        </w:tc>
        <w:tc>
          <w:tcPr>
            <w:tcW w:w="1954" w:type="pct"/>
            <w:vMerge w:val="restart"/>
          </w:tcPr>
          <w:p>
            <w:pPr>
              <w:pStyle w:val="28"/>
              <w:spacing w:before="58" w:line="230" w:lineRule="auto"/>
              <w:ind w:left="90" w:right="50"/>
              <w:jc w:val="center"/>
              <w:rPr>
                <w:rFonts w:hint="eastAsia" w:ascii="仿宋" w:hAnsi="仿宋" w:eastAsia="仿宋" w:cs="仿宋"/>
                <w:sz w:val="21"/>
                <w:szCs w:val="21"/>
              </w:rPr>
            </w:pPr>
            <w:r>
              <w:rPr>
                <w:rFonts w:hint="eastAsia" w:ascii="仿宋" w:hAnsi="仿宋" w:eastAsia="仿宋" w:cs="仿宋"/>
                <w:sz w:val="21"/>
                <w:szCs w:val="21"/>
              </w:rPr>
              <w:t>ALT、 AST、GGT等主要存在于肝胆心脑肾组织细胞内，肝细胞损伤越大ALT、 AST、GGT 就越高。急慢性肝炎、脂肪肝、肝硬化、肝癌、胆管炎等疾病均可引起ALT、 AST、GGT 等升高。</w:t>
            </w:r>
          </w:p>
        </w:tc>
        <w:tc>
          <w:tcPr>
            <w:tcW w:w="242" w:type="pct"/>
            <w:gridSpan w:val="2"/>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ind w:left="26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28"/>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spacing w:before="98"/>
              <w:ind w:left="106" w:right="72"/>
              <w:jc w:val="center"/>
              <w:rPr>
                <w:rFonts w:hint="eastAsia" w:ascii="仿宋" w:hAnsi="仿宋" w:eastAsia="仿宋" w:cs="仿宋"/>
                <w:sz w:val="21"/>
                <w:szCs w:val="21"/>
              </w:rPr>
            </w:pPr>
            <w:r>
              <w:rPr>
                <w:rFonts w:hint="eastAsia" w:ascii="仿宋" w:hAnsi="仿宋" w:eastAsia="仿宋" w:cs="仿宋"/>
                <w:sz w:val="21"/>
                <w:szCs w:val="21"/>
              </w:rPr>
              <w:t>天门冬氨酸氨基转移酶</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spacing w:before="98"/>
              <w:ind w:left="109" w:right="71"/>
              <w:jc w:val="center"/>
              <w:rPr>
                <w:rFonts w:hint="eastAsia" w:ascii="仿宋" w:hAnsi="仿宋" w:eastAsia="仿宋" w:cs="仿宋"/>
                <w:sz w:val="21"/>
                <w:szCs w:val="21"/>
              </w:rPr>
            </w:pPr>
            <w:r>
              <w:rPr>
                <w:rFonts w:hint="eastAsia" w:ascii="仿宋" w:hAnsi="仿宋" w:eastAsia="仿宋" w:cs="仿宋"/>
                <w:sz w:val="21"/>
                <w:szCs w:val="21"/>
              </w:rPr>
              <w:t>γ-谷氨酰转移酶</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5" w:type="pct"/>
            <w:vMerge w:val="restart"/>
          </w:tcPr>
          <w:p>
            <w:pPr>
              <w:pStyle w:val="28"/>
              <w:spacing w:line="230" w:lineRule="auto"/>
              <w:ind w:right="58"/>
              <w:jc w:val="center"/>
              <w:rPr>
                <w:rFonts w:hint="eastAsia" w:ascii="仿宋" w:hAnsi="仿宋" w:eastAsia="仿宋" w:cs="仿宋"/>
                <w:sz w:val="21"/>
                <w:szCs w:val="21"/>
              </w:rPr>
            </w:pPr>
          </w:p>
          <w:p>
            <w:pPr>
              <w:pStyle w:val="28"/>
              <w:spacing w:line="230" w:lineRule="auto"/>
              <w:ind w:right="58"/>
              <w:jc w:val="center"/>
              <w:rPr>
                <w:rFonts w:hint="eastAsia" w:ascii="仿宋" w:hAnsi="仿宋" w:eastAsia="仿宋" w:cs="仿宋"/>
                <w:sz w:val="21"/>
                <w:szCs w:val="21"/>
              </w:rPr>
            </w:pPr>
          </w:p>
          <w:p>
            <w:pPr>
              <w:pStyle w:val="28"/>
              <w:spacing w:line="230" w:lineRule="auto"/>
              <w:ind w:right="58"/>
              <w:jc w:val="center"/>
              <w:rPr>
                <w:rFonts w:hint="eastAsia" w:ascii="仿宋" w:hAnsi="仿宋" w:eastAsia="仿宋" w:cs="仿宋"/>
                <w:sz w:val="21"/>
                <w:szCs w:val="21"/>
              </w:rPr>
            </w:pPr>
            <w:r>
              <w:rPr>
                <w:rFonts w:hint="eastAsia" w:ascii="仿宋" w:hAnsi="仿宋" w:eastAsia="仿宋" w:cs="仿宋"/>
                <w:sz w:val="21"/>
                <w:szCs w:val="21"/>
              </w:rPr>
              <w:t>肾功能三项</w:t>
            </w:r>
          </w:p>
        </w:tc>
        <w:tc>
          <w:tcPr>
            <w:tcW w:w="1174" w:type="pct"/>
          </w:tcPr>
          <w:p>
            <w:pPr>
              <w:pStyle w:val="28"/>
              <w:spacing w:before="49"/>
              <w:ind w:left="109" w:right="72"/>
              <w:jc w:val="center"/>
              <w:rPr>
                <w:rFonts w:hint="eastAsia" w:ascii="仿宋" w:hAnsi="仿宋" w:eastAsia="仿宋" w:cs="仿宋"/>
                <w:sz w:val="21"/>
                <w:szCs w:val="21"/>
              </w:rPr>
            </w:pPr>
            <w:r>
              <w:rPr>
                <w:rFonts w:hint="eastAsia" w:ascii="仿宋" w:hAnsi="仿宋" w:eastAsia="仿宋" w:cs="仿宋"/>
                <w:sz w:val="21"/>
                <w:szCs w:val="21"/>
              </w:rPr>
              <w:t>尿氮素</w:t>
            </w:r>
          </w:p>
        </w:tc>
        <w:tc>
          <w:tcPr>
            <w:tcW w:w="1954" w:type="pct"/>
            <w:vMerge w:val="restart"/>
          </w:tcPr>
          <w:p>
            <w:pPr>
              <w:pStyle w:val="28"/>
              <w:spacing w:before="164"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用于肾功能评价，测定肾功能损害程度及估计预后；血尿酸增高对高尿酸血症、痛风有诊断意义。</w:t>
            </w:r>
          </w:p>
        </w:tc>
        <w:tc>
          <w:tcPr>
            <w:tcW w:w="242" w:type="pct"/>
            <w:gridSpan w:val="2"/>
            <w:vMerge w:val="restart"/>
          </w:tcPr>
          <w:p>
            <w:pPr>
              <w:pStyle w:val="28"/>
              <w:jc w:val="center"/>
              <w:rPr>
                <w:rFonts w:hint="eastAsia" w:ascii="仿宋" w:hAnsi="仿宋" w:eastAsia="仿宋" w:cs="仿宋"/>
                <w:sz w:val="21"/>
                <w:szCs w:val="21"/>
              </w:rPr>
            </w:pPr>
          </w:p>
          <w:p>
            <w:pPr>
              <w:pStyle w:val="28"/>
              <w:spacing w:before="173"/>
              <w:ind w:left="26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vMerge w:val="restart"/>
          </w:tcPr>
          <w:p>
            <w:pPr>
              <w:pStyle w:val="28"/>
              <w:jc w:val="center"/>
              <w:rPr>
                <w:rFonts w:hint="eastAsia" w:ascii="仿宋" w:hAnsi="仿宋" w:eastAsia="仿宋" w:cs="仿宋"/>
                <w:sz w:val="21"/>
                <w:szCs w:val="21"/>
              </w:rPr>
            </w:pPr>
          </w:p>
          <w:p>
            <w:pPr>
              <w:pStyle w:val="28"/>
              <w:spacing w:before="173"/>
              <w:ind w:left="32"/>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vMerge w:val="restart"/>
          </w:tcPr>
          <w:p>
            <w:pPr>
              <w:pStyle w:val="28"/>
              <w:jc w:val="center"/>
              <w:rPr>
                <w:rFonts w:hint="eastAsia" w:ascii="仿宋" w:hAnsi="仿宋" w:eastAsia="仿宋" w:cs="仿宋"/>
                <w:sz w:val="21"/>
                <w:szCs w:val="21"/>
              </w:rPr>
            </w:pPr>
          </w:p>
          <w:p>
            <w:pPr>
              <w:pStyle w:val="28"/>
              <w:spacing w:before="173"/>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spacing w:before="50"/>
              <w:ind w:left="108" w:right="72"/>
              <w:jc w:val="center"/>
              <w:rPr>
                <w:rFonts w:hint="eastAsia" w:ascii="仿宋" w:hAnsi="仿宋" w:eastAsia="仿宋" w:cs="仿宋"/>
                <w:sz w:val="21"/>
                <w:szCs w:val="21"/>
              </w:rPr>
            </w:pPr>
            <w:r>
              <w:rPr>
                <w:rFonts w:hint="eastAsia" w:ascii="仿宋" w:hAnsi="仿宋" w:eastAsia="仿宋" w:cs="仿宋"/>
                <w:sz w:val="21"/>
                <w:szCs w:val="21"/>
              </w:rPr>
              <w:t>肌酐</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625" w:type="pct"/>
            <w:vMerge w:val="continue"/>
            <w:tcBorders>
              <w:top w:val="nil"/>
            </w:tcBorders>
          </w:tcPr>
          <w:p>
            <w:pPr>
              <w:jc w:val="center"/>
              <w:rPr>
                <w:rFonts w:hint="eastAsia" w:ascii="仿宋" w:hAnsi="仿宋" w:eastAsia="仿宋" w:cs="仿宋"/>
                <w:sz w:val="21"/>
                <w:szCs w:val="21"/>
              </w:rPr>
            </w:pPr>
          </w:p>
        </w:tc>
        <w:tc>
          <w:tcPr>
            <w:tcW w:w="1174" w:type="pct"/>
          </w:tcPr>
          <w:p>
            <w:pPr>
              <w:pStyle w:val="28"/>
              <w:tabs>
                <w:tab w:val="left" w:pos="635"/>
              </w:tabs>
              <w:spacing w:before="50"/>
              <w:ind w:left="35"/>
              <w:jc w:val="center"/>
              <w:rPr>
                <w:rFonts w:hint="eastAsia" w:ascii="仿宋" w:hAnsi="仿宋" w:eastAsia="仿宋" w:cs="仿宋"/>
                <w:sz w:val="21"/>
                <w:szCs w:val="21"/>
              </w:rPr>
            </w:pPr>
            <w:r>
              <w:rPr>
                <w:rFonts w:hint="eastAsia" w:ascii="仿宋" w:hAnsi="仿宋" w:eastAsia="仿宋" w:cs="仿宋"/>
                <w:sz w:val="21"/>
                <w:szCs w:val="21"/>
              </w:rPr>
              <w:t>尿酸</w:t>
            </w:r>
            <w:r>
              <w:rPr>
                <w:rFonts w:hint="eastAsia" w:ascii="仿宋" w:hAnsi="仿宋" w:eastAsia="仿宋" w:cs="仿宋"/>
                <w:sz w:val="21"/>
                <w:szCs w:val="21"/>
              </w:rPr>
              <w:tab/>
            </w:r>
            <w:r>
              <w:rPr>
                <w:rFonts w:hint="eastAsia" w:ascii="仿宋" w:hAnsi="仿宋" w:eastAsia="仿宋" w:cs="仿宋"/>
                <w:sz w:val="21"/>
                <w:szCs w:val="21"/>
              </w:rPr>
              <w:t>(痛风风险)</w:t>
            </w:r>
          </w:p>
        </w:tc>
        <w:tc>
          <w:tcPr>
            <w:tcW w:w="1954" w:type="pct"/>
            <w:vMerge w:val="continue"/>
            <w:tcBorders>
              <w:top w:val="nil"/>
            </w:tcBorders>
          </w:tcPr>
          <w:p>
            <w:pPr>
              <w:jc w:val="center"/>
              <w:rPr>
                <w:rFonts w:hint="eastAsia" w:ascii="仿宋" w:hAnsi="仿宋" w:eastAsia="仿宋" w:cs="仿宋"/>
                <w:sz w:val="21"/>
                <w:szCs w:val="21"/>
              </w:rPr>
            </w:pPr>
          </w:p>
        </w:tc>
        <w:tc>
          <w:tcPr>
            <w:tcW w:w="242" w:type="pct"/>
            <w:gridSpan w:val="2"/>
            <w:vMerge w:val="continue"/>
            <w:tcBorders>
              <w:top w:val="nil"/>
            </w:tcBorders>
          </w:tcPr>
          <w:p>
            <w:pPr>
              <w:jc w:val="center"/>
              <w:rPr>
                <w:rFonts w:hint="eastAsia" w:ascii="仿宋" w:hAnsi="仿宋" w:eastAsia="仿宋" w:cs="仿宋"/>
                <w:sz w:val="21"/>
                <w:szCs w:val="21"/>
              </w:rPr>
            </w:pPr>
          </w:p>
        </w:tc>
        <w:tc>
          <w:tcPr>
            <w:tcW w:w="460" w:type="pct"/>
            <w:vMerge w:val="continue"/>
            <w:tcBorders>
              <w:top w:val="nil"/>
            </w:tcBorders>
          </w:tcPr>
          <w:p>
            <w:pPr>
              <w:jc w:val="center"/>
              <w:rPr>
                <w:rFonts w:hint="eastAsia" w:ascii="仿宋" w:hAnsi="仿宋" w:eastAsia="仿宋" w:cs="仿宋"/>
                <w:sz w:val="21"/>
                <w:szCs w:val="21"/>
              </w:rPr>
            </w:pPr>
          </w:p>
        </w:tc>
        <w:tc>
          <w:tcPr>
            <w:tcW w:w="542" w:type="pct"/>
            <w:vMerge w:val="continue"/>
            <w:tcBorders>
              <w:top w:val="nil"/>
            </w:tcBorders>
          </w:tcPr>
          <w:p>
            <w:pPr>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2" w:hRule="atLeast"/>
        </w:trPr>
        <w:tc>
          <w:tcPr>
            <w:tcW w:w="625" w:type="pct"/>
          </w:tcPr>
          <w:p>
            <w:pPr>
              <w:pStyle w:val="28"/>
              <w:spacing w:before="10"/>
              <w:jc w:val="center"/>
              <w:rPr>
                <w:rFonts w:hint="eastAsia" w:ascii="仿宋" w:hAnsi="仿宋" w:eastAsia="仿宋" w:cs="仿宋"/>
                <w:sz w:val="21"/>
                <w:szCs w:val="21"/>
              </w:rPr>
            </w:pPr>
          </w:p>
          <w:p>
            <w:pPr>
              <w:pStyle w:val="28"/>
              <w:spacing w:before="1"/>
              <w:ind w:left="31" w:leftChars="-252" w:hanging="636" w:hangingChars="303"/>
              <w:jc w:val="center"/>
              <w:rPr>
                <w:rFonts w:hint="eastAsia" w:ascii="仿宋" w:hAnsi="仿宋" w:eastAsia="仿宋" w:cs="仿宋"/>
                <w:sz w:val="21"/>
                <w:szCs w:val="21"/>
              </w:rPr>
            </w:pPr>
            <w:r>
              <w:rPr>
                <w:rFonts w:hint="eastAsia" w:ascii="仿宋" w:hAnsi="仿宋" w:eastAsia="仿宋" w:cs="仿宋"/>
                <w:sz w:val="21"/>
                <w:szCs w:val="21"/>
              </w:rPr>
              <w:t>血糖</w:t>
            </w:r>
          </w:p>
        </w:tc>
        <w:tc>
          <w:tcPr>
            <w:tcW w:w="1174" w:type="pct"/>
          </w:tcPr>
          <w:p>
            <w:pPr>
              <w:pStyle w:val="28"/>
              <w:spacing w:before="10"/>
              <w:jc w:val="center"/>
              <w:rPr>
                <w:rFonts w:hint="eastAsia" w:ascii="仿宋" w:hAnsi="仿宋" w:eastAsia="仿宋" w:cs="仿宋"/>
                <w:sz w:val="21"/>
                <w:szCs w:val="21"/>
              </w:rPr>
            </w:pPr>
          </w:p>
          <w:p>
            <w:pPr>
              <w:pStyle w:val="28"/>
              <w:spacing w:before="1"/>
              <w:ind w:left="109" w:right="70"/>
              <w:jc w:val="center"/>
              <w:rPr>
                <w:rFonts w:hint="eastAsia" w:ascii="仿宋" w:hAnsi="仿宋" w:eastAsia="仿宋" w:cs="仿宋"/>
                <w:sz w:val="21"/>
                <w:szCs w:val="21"/>
              </w:rPr>
            </w:pPr>
            <w:r>
              <w:rPr>
                <w:rFonts w:hint="eastAsia" w:ascii="仿宋" w:hAnsi="仿宋" w:eastAsia="仿宋" w:cs="仿宋"/>
                <w:sz w:val="21"/>
                <w:szCs w:val="21"/>
              </w:rPr>
              <w:t>空腹血糖(FBG）</w:t>
            </w:r>
          </w:p>
        </w:tc>
        <w:tc>
          <w:tcPr>
            <w:tcW w:w="1954" w:type="pct"/>
          </w:tcPr>
          <w:p>
            <w:pPr>
              <w:pStyle w:val="28"/>
              <w:spacing w:before="164"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评价人体空腹状态下糖代谢是否正常，评估糖尿病患者空腹血糖控制是否达标。空腹血糖是诊断糖代谢紊乱的最常用和最重要指标。</w:t>
            </w:r>
          </w:p>
        </w:tc>
        <w:tc>
          <w:tcPr>
            <w:tcW w:w="242" w:type="pct"/>
            <w:gridSpan w:val="2"/>
          </w:tcPr>
          <w:p>
            <w:pPr>
              <w:pStyle w:val="28"/>
              <w:spacing w:before="10"/>
              <w:jc w:val="center"/>
              <w:rPr>
                <w:rFonts w:hint="eastAsia" w:ascii="仿宋" w:hAnsi="仿宋" w:eastAsia="仿宋" w:cs="仿宋"/>
                <w:sz w:val="21"/>
                <w:szCs w:val="21"/>
              </w:rPr>
            </w:pPr>
          </w:p>
          <w:p>
            <w:pPr>
              <w:pStyle w:val="28"/>
              <w:spacing w:before="1"/>
              <w:ind w:right="22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10"/>
              <w:jc w:val="center"/>
              <w:rPr>
                <w:rFonts w:hint="eastAsia" w:ascii="仿宋" w:hAnsi="仿宋" w:eastAsia="仿宋" w:cs="仿宋"/>
                <w:sz w:val="21"/>
                <w:szCs w:val="21"/>
              </w:rPr>
            </w:pPr>
          </w:p>
          <w:p>
            <w:pPr>
              <w:pStyle w:val="28"/>
              <w:spacing w:before="1"/>
              <w:ind w:right="248"/>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10"/>
              <w:jc w:val="center"/>
              <w:rPr>
                <w:rFonts w:hint="eastAsia" w:ascii="仿宋" w:hAnsi="仿宋" w:eastAsia="仿宋" w:cs="仿宋"/>
                <w:sz w:val="21"/>
                <w:szCs w:val="21"/>
              </w:rPr>
            </w:pPr>
          </w:p>
          <w:p>
            <w:pPr>
              <w:pStyle w:val="28"/>
              <w:spacing w:before="1"/>
              <w:ind w:left="3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sz w:val="21"/>
                <w:szCs w:val="21"/>
              </w:rPr>
              <w:t>血脂四项</w:t>
            </w:r>
          </w:p>
        </w:tc>
        <w:tc>
          <w:tcPr>
            <w:tcW w:w="1174" w:type="pct"/>
          </w:tcPr>
          <w:p>
            <w:pPr>
              <w:pStyle w:val="28"/>
              <w:spacing w:before="66"/>
              <w:ind w:left="108" w:right="72"/>
              <w:jc w:val="center"/>
              <w:rPr>
                <w:rFonts w:hint="eastAsia" w:ascii="仿宋" w:hAnsi="仿宋" w:eastAsia="仿宋" w:cs="仿宋"/>
                <w:sz w:val="21"/>
                <w:szCs w:val="21"/>
              </w:rPr>
            </w:pPr>
          </w:p>
          <w:p>
            <w:pPr>
              <w:pStyle w:val="28"/>
              <w:spacing w:before="66"/>
              <w:ind w:left="108" w:right="72"/>
              <w:jc w:val="center"/>
              <w:rPr>
                <w:rFonts w:hint="eastAsia" w:ascii="仿宋" w:hAnsi="仿宋" w:eastAsia="仿宋" w:cs="仿宋"/>
                <w:sz w:val="21"/>
                <w:szCs w:val="21"/>
              </w:rPr>
            </w:pPr>
            <w:r>
              <w:rPr>
                <w:rFonts w:hint="eastAsia" w:ascii="仿宋" w:hAnsi="仿宋" w:eastAsia="仿宋" w:cs="仿宋"/>
                <w:sz w:val="21"/>
                <w:szCs w:val="21"/>
              </w:rPr>
              <w:t>总胆固醇</w:t>
            </w:r>
          </w:p>
        </w:tc>
        <w:tc>
          <w:tcPr>
            <w:tcW w:w="1954" w:type="pct"/>
          </w:tcPr>
          <w:p>
            <w:pPr>
              <w:pStyle w:val="28"/>
              <w:spacing w:line="230" w:lineRule="auto"/>
              <w:ind w:right="60"/>
              <w:jc w:val="center"/>
              <w:rPr>
                <w:rFonts w:hint="eastAsia" w:ascii="仿宋" w:hAnsi="仿宋" w:eastAsia="仿宋" w:cs="仿宋"/>
                <w:w w:val="95"/>
                <w:sz w:val="21"/>
                <w:szCs w:val="21"/>
              </w:rPr>
            </w:pPr>
          </w:p>
          <w:p>
            <w:pPr>
              <w:pStyle w:val="28"/>
              <w:spacing w:line="230" w:lineRule="auto"/>
              <w:ind w:right="60"/>
              <w:jc w:val="center"/>
              <w:rPr>
                <w:rFonts w:hint="eastAsia" w:ascii="仿宋" w:hAnsi="仿宋" w:eastAsia="仿宋" w:cs="仿宋"/>
                <w:sz w:val="21"/>
                <w:szCs w:val="21"/>
              </w:rPr>
            </w:pPr>
            <w:r>
              <w:rPr>
                <w:rFonts w:hint="eastAsia" w:ascii="仿宋" w:hAnsi="仿宋" w:eastAsia="仿宋" w:cs="仿宋"/>
                <w:sz w:val="21"/>
                <w:szCs w:val="21"/>
              </w:rPr>
              <w:t>监测血脂四项可以了解脂肪代谢情况，是判断心脑血管疾病及其预后的重要指标。</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ind w:firstLine="207" w:firstLineChars="100"/>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28"/>
              <w:ind w:firstLine="207" w:firstLineChars="100"/>
              <w:jc w:val="both"/>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9"/>
              <w:jc w:val="center"/>
              <w:rPr>
                <w:rFonts w:hint="eastAsia" w:ascii="仿宋" w:hAnsi="仿宋" w:eastAsia="仿宋" w:cs="仿宋"/>
                <w:sz w:val="21"/>
                <w:szCs w:val="21"/>
              </w:rPr>
            </w:pPr>
          </w:p>
          <w:p>
            <w:pPr>
              <w:pStyle w:val="28"/>
              <w:spacing w:line="251" w:lineRule="exact"/>
              <w:jc w:val="center"/>
              <w:rPr>
                <w:rFonts w:hint="eastAsia" w:ascii="仿宋" w:hAnsi="仿宋" w:eastAsia="仿宋" w:cs="仿宋"/>
                <w:sz w:val="21"/>
                <w:szCs w:val="21"/>
              </w:rPr>
            </w:pPr>
            <w:r>
              <w:rPr>
                <w:rFonts w:hint="eastAsia" w:ascii="仿宋" w:hAnsi="仿宋" w:eastAsia="仿宋" w:cs="仿宋"/>
                <w:w w:val="95"/>
                <w:sz w:val="21"/>
                <w:szCs w:val="21"/>
              </w:rPr>
              <w:t>便隐血</w:t>
            </w:r>
          </w:p>
          <w:p>
            <w:pPr>
              <w:pStyle w:val="28"/>
              <w:jc w:val="center"/>
              <w:rPr>
                <w:rFonts w:hint="eastAsia" w:ascii="仿宋" w:hAnsi="仿宋" w:eastAsia="仿宋" w:cs="仿宋"/>
                <w:sz w:val="21"/>
                <w:szCs w:val="21"/>
              </w:rPr>
            </w:pPr>
            <w:r>
              <w:rPr>
                <w:rFonts w:hint="eastAsia" w:ascii="仿宋" w:hAnsi="仿宋" w:eastAsia="仿宋" w:cs="仿宋"/>
                <w:sz w:val="21"/>
                <w:szCs w:val="21"/>
              </w:rPr>
              <w:t>（OB）</w:t>
            </w:r>
          </w:p>
        </w:tc>
        <w:tc>
          <w:tcPr>
            <w:tcW w:w="1174" w:type="pct"/>
          </w:tcPr>
          <w:p>
            <w:pPr>
              <w:pStyle w:val="28"/>
              <w:jc w:val="center"/>
              <w:rPr>
                <w:rFonts w:hint="eastAsia" w:ascii="仿宋" w:hAnsi="仿宋" w:eastAsia="仿宋" w:cs="仿宋"/>
                <w:sz w:val="21"/>
                <w:szCs w:val="21"/>
              </w:rPr>
            </w:pPr>
          </w:p>
          <w:p>
            <w:pPr>
              <w:pStyle w:val="28"/>
              <w:spacing w:before="66"/>
              <w:ind w:left="108" w:right="72"/>
              <w:jc w:val="center"/>
              <w:rPr>
                <w:rFonts w:hint="eastAsia" w:ascii="仿宋" w:hAnsi="仿宋" w:eastAsia="仿宋" w:cs="仿宋"/>
                <w:sz w:val="21"/>
                <w:szCs w:val="21"/>
              </w:rPr>
            </w:pPr>
            <w:r>
              <w:rPr>
                <w:rFonts w:hint="eastAsia" w:ascii="仿宋" w:hAnsi="仿宋" w:eastAsia="仿宋" w:cs="仿宋"/>
                <w:sz w:val="21"/>
                <w:szCs w:val="21"/>
              </w:rPr>
              <w:t>便隐血检测</w:t>
            </w:r>
          </w:p>
        </w:tc>
        <w:tc>
          <w:tcPr>
            <w:tcW w:w="1954" w:type="pct"/>
          </w:tcPr>
          <w:p>
            <w:pPr>
              <w:pStyle w:val="28"/>
              <w:spacing w:line="230" w:lineRule="auto"/>
              <w:ind w:right="60"/>
              <w:jc w:val="center"/>
              <w:rPr>
                <w:rFonts w:hint="eastAsia" w:ascii="仿宋" w:hAnsi="仿宋" w:eastAsia="仿宋" w:cs="仿宋"/>
                <w:w w:val="95"/>
                <w:sz w:val="21"/>
                <w:szCs w:val="21"/>
              </w:rPr>
            </w:pPr>
            <w:r>
              <w:rPr>
                <w:rFonts w:hint="eastAsia" w:ascii="仿宋" w:hAnsi="仿宋" w:eastAsia="仿宋" w:cs="仿宋"/>
                <w:sz w:val="21"/>
                <w:szCs w:val="21"/>
              </w:rPr>
              <w:t>检查粪便中隐藏的红细胞或血红蛋白的一项 实验。这对检出引起消化道出血的疾病：如结肠炎、消化道溃疡、肠息肉、肠癌等是非常有用的。</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sz w:val="21"/>
                <w:szCs w:val="21"/>
              </w:rPr>
              <w:t>肿瘤标志物</w:t>
            </w:r>
          </w:p>
        </w:tc>
        <w:tc>
          <w:tcPr>
            <w:tcW w:w="1174" w:type="pct"/>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甲胎蛋白定量</w:t>
            </w:r>
          </w:p>
        </w:tc>
        <w:tc>
          <w:tcPr>
            <w:tcW w:w="1954" w:type="pct"/>
          </w:tcPr>
          <w:p>
            <w:pPr>
              <w:pStyle w:val="28"/>
              <w:spacing w:line="230" w:lineRule="auto"/>
              <w:ind w:right="60"/>
              <w:jc w:val="center"/>
              <w:rPr>
                <w:rFonts w:hint="eastAsia" w:ascii="仿宋" w:hAnsi="仿宋" w:eastAsia="仿宋" w:cs="仿宋"/>
                <w:sz w:val="21"/>
                <w:szCs w:val="21"/>
              </w:rPr>
            </w:pPr>
            <w:r>
              <w:rPr>
                <w:rFonts w:hint="eastAsia" w:ascii="仿宋" w:hAnsi="仿宋" w:eastAsia="仿宋" w:cs="仿宋"/>
                <w:sz w:val="21"/>
                <w:szCs w:val="21"/>
              </w:rPr>
              <w:t>对原发性肝癌的诊断、疗效观察和预后评估有重要的临床意义。在卵巢、胃、胰腺癌、 睾丸癌等肿瘤及肝炎、肝硬化等疾病也有异常发现。</w:t>
            </w:r>
          </w:p>
        </w:tc>
        <w:tc>
          <w:tcPr>
            <w:tcW w:w="242" w:type="pct"/>
            <w:gridSpan w:val="2"/>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9"/>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0" w:hRule="atLeast"/>
        </w:trPr>
        <w:tc>
          <w:tcPr>
            <w:tcW w:w="625" w:type="pct"/>
          </w:tcPr>
          <w:p>
            <w:pPr>
              <w:pStyle w:val="11"/>
              <w:jc w:val="center"/>
              <w:rPr>
                <w:rFonts w:hint="eastAsia" w:ascii="仿宋" w:hAnsi="仿宋" w:eastAsia="仿宋" w:cs="仿宋"/>
                <w:sz w:val="21"/>
                <w:szCs w:val="21"/>
              </w:rPr>
            </w:pPr>
          </w:p>
        </w:tc>
        <w:tc>
          <w:tcPr>
            <w:tcW w:w="1174" w:type="pct"/>
          </w:tcPr>
          <w:p>
            <w:pPr>
              <w:pStyle w:val="28"/>
              <w:spacing w:before="9"/>
              <w:jc w:val="center"/>
              <w:rPr>
                <w:rFonts w:hint="eastAsia" w:ascii="仿宋" w:hAnsi="仿宋" w:eastAsia="仿宋" w:cs="仿宋"/>
                <w:sz w:val="21"/>
                <w:szCs w:val="21"/>
              </w:rPr>
            </w:pPr>
          </w:p>
          <w:p>
            <w:pPr>
              <w:pStyle w:val="28"/>
              <w:spacing w:before="9"/>
              <w:jc w:val="center"/>
              <w:rPr>
                <w:rFonts w:hint="eastAsia" w:ascii="仿宋" w:hAnsi="仿宋" w:eastAsia="仿宋" w:cs="仿宋"/>
                <w:sz w:val="21"/>
                <w:szCs w:val="21"/>
              </w:rPr>
            </w:pPr>
            <w:r>
              <w:rPr>
                <w:rFonts w:hint="eastAsia" w:ascii="仿宋" w:hAnsi="仿宋" w:eastAsia="仿宋" w:cs="仿宋"/>
                <w:sz w:val="21"/>
                <w:szCs w:val="21"/>
              </w:rPr>
              <w:t>癌胚抗原定量</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系广谱性肿瘤标志物，对大肠癌、胰腺癌的 筛查、疗效观察和预后评估有重要的临床意义。在胃、乳腺、肺癌等也可升高。</w:t>
            </w:r>
          </w:p>
        </w:tc>
        <w:tc>
          <w:tcPr>
            <w:tcW w:w="242" w:type="pct"/>
            <w:gridSpan w:val="2"/>
          </w:tcPr>
          <w:p>
            <w:pPr>
              <w:pStyle w:val="28"/>
              <w:spacing w:before="7"/>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7"/>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7"/>
              <w:jc w:val="center"/>
              <w:rPr>
                <w:rFonts w:hint="eastAsia" w:ascii="仿宋" w:hAnsi="仿宋" w:eastAsia="仿宋" w:cs="仿宋"/>
                <w:sz w:val="21"/>
                <w:szCs w:val="21"/>
              </w:rPr>
            </w:pPr>
          </w:p>
          <w:p>
            <w:pPr>
              <w:pStyle w:val="11"/>
              <w:spacing w:before="9"/>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5000" w:type="pct"/>
            <w:gridSpan w:val="7"/>
            <w:shd w:val="clear" w:color="auto" w:fill="FFFF00"/>
            <w:vAlign w:val="center"/>
          </w:tcPr>
          <w:p>
            <w:pPr>
              <w:pStyle w:val="11"/>
              <w:spacing w:before="7"/>
              <w:jc w:val="center"/>
              <w:rPr>
                <w:rFonts w:hint="eastAsia" w:ascii="仿宋" w:hAnsi="仿宋" w:eastAsia="仿宋" w:cs="仿宋"/>
                <w:sz w:val="21"/>
                <w:szCs w:val="21"/>
              </w:rPr>
            </w:pPr>
            <w:r>
              <w:rPr>
                <w:rFonts w:hint="eastAsia" w:ascii="仿宋" w:hAnsi="仿宋" w:eastAsia="仿宋" w:cs="仿宋"/>
                <w:b/>
                <w:sz w:val="21"/>
                <w:szCs w:val="21"/>
              </w:rPr>
              <w:t>仪器检查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trPr>
        <w:tc>
          <w:tcPr>
            <w:tcW w:w="625"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jc w:val="center"/>
              <w:rPr>
                <w:rFonts w:hint="eastAsia" w:ascii="仿宋" w:hAnsi="仿宋" w:eastAsia="仿宋" w:cs="仿宋"/>
                <w:b/>
                <w:sz w:val="21"/>
                <w:szCs w:val="21"/>
              </w:rPr>
            </w:pPr>
            <w:r>
              <w:rPr>
                <w:rFonts w:hint="eastAsia" w:ascii="仿宋" w:hAnsi="仿宋" w:eastAsia="仿宋" w:cs="仿宋"/>
                <w:sz w:val="21"/>
                <w:szCs w:val="21"/>
              </w:rPr>
              <w:t>腹部彩超</w:t>
            </w:r>
          </w:p>
        </w:tc>
        <w:tc>
          <w:tcPr>
            <w:tcW w:w="1174"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jc w:val="center"/>
              <w:rPr>
                <w:rFonts w:hint="eastAsia" w:ascii="仿宋" w:hAnsi="仿宋" w:eastAsia="仿宋" w:cs="仿宋"/>
                <w:sz w:val="21"/>
                <w:szCs w:val="21"/>
              </w:rPr>
            </w:pPr>
            <w:r>
              <w:rPr>
                <w:rFonts w:hint="eastAsia" w:ascii="仿宋" w:hAnsi="仿宋" w:eastAsia="仿宋" w:cs="仿宋"/>
                <w:sz w:val="21"/>
                <w:szCs w:val="21"/>
              </w:rPr>
              <w:t>肝、胆、胰、脾、双肾</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242" w:type="pct"/>
            <w:gridSpan w:val="2"/>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ind w:firstLine="207" w:firstLineChars="100"/>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ind w:firstLine="414" w:firstLineChars="200"/>
              <w:jc w:val="both"/>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jc w:val="center"/>
              <w:rPr>
                <w:rFonts w:hint="eastAsia" w:ascii="仿宋" w:hAnsi="仿宋" w:eastAsia="仿宋" w:cs="仿宋"/>
                <w:sz w:val="21"/>
                <w:szCs w:val="21"/>
              </w:rPr>
            </w:pPr>
          </w:p>
          <w:p>
            <w:pPr>
              <w:pStyle w:val="11"/>
              <w:spacing w:before="7"/>
              <w:ind w:firstLine="414" w:firstLineChars="200"/>
              <w:jc w:val="both"/>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前列腺彩超</w:t>
            </w:r>
          </w:p>
        </w:tc>
        <w:tc>
          <w:tcPr>
            <w:tcW w:w="1174" w:type="pct"/>
          </w:tcPr>
          <w:p>
            <w:pPr>
              <w:pStyle w:val="28"/>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前列腺</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在膀胱充盈时通过彩色超声仪器检查。更清晰地观察前列腺大小、形态、结构等情况， 判断有无前列腺增大、囊肿、结石，恶性病变等。</w:t>
            </w:r>
          </w:p>
        </w:tc>
        <w:tc>
          <w:tcPr>
            <w:tcW w:w="242" w:type="pct"/>
            <w:gridSpan w:val="2"/>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11"/>
              <w:jc w:val="center"/>
              <w:rPr>
                <w:rFonts w:hint="eastAsia" w:ascii="仿宋" w:hAnsi="仿宋" w:eastAsia="仿宋" w:cs="仿宋"/>
                <w:sz w:val="21"/>
                <w:szCs w:val="21"/>
              </w:rPr>
            </w:pPr>
          </w:p>
        </w:tc>
        <w:tc>
          <w:tcPr>
            <w:tcW w:w="542" w:type="pct"/>
          </w:tcPr>
          <w:p>
            <w:pPr>
              <w:pStyle w:val="11"/>
              <w:jc w:val="center"/>
              <w:rPr>
                <w:rFonts w:hint="eastAsia" w:ascii="仿宋" w:hAnsi="仿宋" w:eastAsia="仿宋" w:cs="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7" w:hRule="atLeast"/>
        </w:trPr>
        <w:tc>
          <w:tcPr>
            <w:tcW w:w="625" w:type="pct"/>
          </w:tcPr>
          <w:p>
            <w:pPr>
              <w:pStyle w:val="28"/>
              <w:spacing w:before="6"/>
              <w:jc w:val="center"/>
              <w:rPr>
                <w:rFonts w:hint="eastAsia" w:ascii="仿宋" w:hAnsi="仿宋" w:eastAsia="仿宋" w:cs="仿宋"/>
                <w:sz w:val="21"/>
                <w:szCs w:val="21"/>
              </w:rPr>
            </w:pPr>
          </w:p>
          <w:p>
            <w:pPr>
              <w:pStyle w:val="28"/>
              <w:spacing w:before="1" w:line="230" w:lineRule="auto"/>
              <w:ind w:left="133" w:right="98"/>
              <w:jc w:val="center"/>
              <w:rPr>
                <w:rFonts w:hint="eastAsia" w:ascii="仿宋" w:hAnsi="仿宋" w:eastAsia="仿宋" w:cs="仿宋"/>
                <w:sz w:val="21"/>
                <w:szCs w:val="21"/>
              </w:rPr>
            </w:pPr>
            <w:r>
              <w:rPr>
                <w:rFonts w:hint="eastAsia" w:ascii="仿宋" w:hAnsi="仿宋" w:eastAsia="仿宋" w:cs="仿宋"/>
                <w:spacing w:val="-5"/>
                <w:sz w:val="21"/>
                <w:szCs w:val="21"/>
              </w:rPr>
              <w:t>子宫、附</w:t>
            </w:r>
            <w:r>
              <w:rPr>
                <w:rFonts w:hint="eastAsia" w:ascii="仿宋" w:hAnsi="仿宋" w:eastAsia="仿宋" w:cs="仿宋"/>
                <w:sz w:val="21"/>
                <w:szCs w:val="21"/>
              </w:rPr>
              <w:t>件</w:t>
            </w:r>
            <w:r>
              <w:rPr>
                <w:rFonts w:hint="eastAsia" w:ascii="仿宋" w:hAnsi="仿宋" w:eastAsia="仿宋" w:cs="仿宋"/>
                <w:w w:val="95"/>
                <w:sz w:val="21"/>
                <w:szCs w:val="21"/>
              </w:rPr>
              <w:t>彩超</w:t>
            </w:r>
          </w:p>
        </w:tc>
        <w:tc>
          <w:tcPr>
            <w:tcW w:w="1174" w:type="pct"/>
          </w:tcPr>
          <w:p>
            <w:pPr>
              <w:pStyle w:val="28"/>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子宫、附件</w:t>
            </w:r>
          </w:p>
        </w:tc>
        <w:tc>
          <w:tcPr>
            <w:tcW w:w="1954" w:type="pct"/>
          </w:tcPr>
          <w:p>
            <w:pPr>
              <w:pStyle w:val="11"/>
              <w:spacing w:line="199" w:lineRule="exact"/>
              <w:ind w:right="50"/>
              <w:jc w:val="center"/>
              <w:rPr>
                <w:rFonts w:hint="eastAsia" w:ascii="仿宋" w:hAnsi="仿宋" w:eastAsia="仿宋" w:cs="仿宋"/>
                <w:sz w:val="21"/>
                <w:szCs w:val="21"/>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通过彩色超声仪器更清晰地观察子宫及附件（卵巢、输卵管）大小、形态结构及内部回 声的情况，鉴别正常和异常，了解病变的性质，判别有无恶性病变，以便尽早处置。</w:t>
            </w:r>
          </w:p>
        </w:tc>
        <w:tc>
          <w:tcPr>
            <w:tcW w:w="242" w:type="pct"/>
            <w:gridSpan w:val="2"/>
          </w:tcPr>
          <w:p>
            <w:pPr>
              <w:pStyle w:val="11"/>
              <w:jc w:val="center"/>
              <w:rPr>
                <w:rFonts w:hint="eastAsia" w:ascii="仿宋" w:hAnsi="仿宋" w:eastAsia="仿宋" w:cs="仿宋"/>
                <w:sz w:val="21"/>
                <w:szCs w:val="21"/>
              </w:rPr>
            </w:pPr>
          </w:p>
        </w:tc>
        <w:tc>
          <w:tcPr>
            <w:tcW w:w="460" w:type="pc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4"/>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625" w:type="pct"/>
          </w:tcPr>
          <w:p>
            <w:pPr>
              <w:pStyle w:val="28"/>
              <w:spacing w:before="1"/>
              <w:jc w:val="center"/>
              <w:rPr>
                <w:rFonts w:hint="eastAsia" w:ascii="仿宋" w:hAnsi="仿宋" w:eastAsia="仿宋" w:cs="仿宋"/>
                <w:sz w:val="21"/>
                <w:szCs w:val="21"/>
              </w:rPr>
            </w:pPr>
          </w:p>
          <w:p>
            <w:pPr>
              <w:pStyle w:val="11"/>
              <w:spacing w:before="6"/>
              <w:jc w:val="center"/>
              <w:rPr>
                <w:rFonts w:hint="eastAsia" w:ascii="仿宋" w:hAnsi="仿宋" w:eastAsia="仿宋" w:cs="仿宋"/>
                <w:sz w:val="21"/>
                <w:szCs w:val="21"/>
              </w:rPr>
            </w:pPr>
            <w:r>
              <w:rPr>
                <w:rFonts w:hint="eastAsia" w:ascii="仿宋" w:hAnsi="仿宋" w:eastAsia="仿宋" w:cs="仿宋"/>
                <w:sz w:val="21"/>
                <w:szCs w:val="21"/>
              </w:rPr>
              <w:t>乳腺彩超</w:t>
            </w:r>
          </w:p>
        </w:tc>
        <w:tc>
          <w:tcPr>
            <w:tcW w:w="1174" w:type="pct"/>
          </w:tcPr>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乳腺</w:t>
            </w:r>
          </w:p>
        </w:tc>
        <w:tc>
          <w:tcPr>
            <w:tcW w:w="1954" w:type="pct"/>
          </w:tcPr>
          <w:p>
            <w:pPr>
              <w:pStyle w:val="11"/>
              <w:spacing w:line="199" w:lineRule="exact"/>
              <w:ind w:right="50"/>
              <w:jc w:val="center"/>
              <w:rPr>
                <w:rFonts w:hint="eastAsia" w:ascii="仿宋" w:hAnsi="仿宋" w:eastAsia="仿宋" w:cs="仿宋"/>
                <w:sz w:val="21"/>
                <w:szCs w:val="21"/>
                <w:lang w:val="zh-CN"/>
              </w:rPr>
            </w:pPr>
          </w:p>
          <w:p>
            <w:pPr>
              <w:pStyle w:val="11"/>
              <w:spacing w:line="199" w:lineRule="exact"/>
              <w:ind w:right="50"/>
              <w:jc w:val="center"/>
              <w:rPr>
                <w:rFonts w:hint="eastAsia" w:ascii="仿宋" w:hAnsi="仿宋" w:eastAsia="仿宋" w:cs="仿宋"/>
                <w:sz w:val="21"/>
                <w:szCs w:val="21"/>
              </w:rPr>
            </w:pPr>
            <w:r>
              <w:rPr>
                <w:rFonts w:hint="eastAsia" w:ascii="仿宋" w:hAnsi="仿宋" w:eastAsia="仿宋" w:cs="仿宋"/>
                <w:sz w:val="21"/>
                <w:szCs w:val="21"/>
              </w:rPr>
              <w:t>通过彩超仪器检查乳腺，发现乳腺增生、肿物、结节、囊肿、腺瘤、乳腺癌等病变。</w:t>
            </w:r>
          </w:p>
        </w:tc>
        <w:tc>
          <w:tcPr>
            <w:tcW w:w="242" w:type="pct"/>
            <w:gridSpan w:val="2"/>
          </w:tcPr>
          <w:p>
            <w:pPr>
              <w:pStyle w:val="11"/>
              <w:jc w:val="center"/>
              <w:rPr>
                <w:rFonts w:hint="eastAsia" w:ascii="仿宋" w:hAnsi="仿宋" w:eastAsia="仿宋" w:cs="仿宋"/>
                <w:sz w:val="21"/>
                <w:szCs w:val="21"/>
              </w:rPr>
            </w:pPr>
          </w:p>
        </w:tc>
        <w:tc>
          <w:tcPr>
            <w:tcW w:w="460" w:type="pct"/>
          </w:tcPr>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1"/>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11"/>
              <w:spacing w:before="6"/>
              <w:ind w:right="-252" w:rightChars="-105"/>
              <w:jc w:val="center"/>
              <w:rPr>
                <w:rFonts w:hint="eastAsia" w:ascii="仿宋" w:hAnsi="仿宋" w:eastAsia="仿宋" w:cs="仿宋"/>
                <w:sz w:val="21"/>
                <w:szCs w:val="21"/>
              </w:rPr>
            </w:pPr>
          </w:p>
          <w:p>
            <w:pPr>
              <w:pStyle w:val="11"/>
              <w:spacing w:before="6"/>
              <w:ind w:right="-252" w:rightChars="-105" w:firstLine="210" w:firstLineChars="100"/>
              <w:jc w:val="center"/>
              <w:rPr>
                <w:rFonts w:hint="eastAsia" w:ascii="仿宋" w:hAnsi="仿宋" w:eastAsia="仿宋" w:cs="仿宋"/>
                <w:sz w:val="21"/>
                <w:szCs w:val="21"/>
              </w:rPr>
            </w:pPr>
            <w:r>
              <w:rPr>
                <w:rFonts w:hint="eastAsia" w:ascii="仿宋" w:hAnsi="仿宋" w:eastAsia="仿宋" w:cs="仿宋"/>
                <w:sz w:val="21"/>
                <w:szCs w:val="21"/>
              </w:rPr>
              <w:t>甲状腺彩超</w:t>
            </w:r>
          </w:p>
        </w:tc>
        <w:tc>
          <w:tcPr>
            <w:tcW w:w="1174" w:type="pct"/>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spacing w:before="1"/>
              <w:jc w:val="center"/>
              <w:rPr>
                <w:rFonts w:hint="eastAsia" w:ascii="仿宋" w:hAnsi="仿宋" w:eastAsia="仿宋" w:cs="仿宋"/>
                <w:sz w:val="21"/>
                <w:szCs w:val="21"/>
              </w:rPr>
            </w:pPr>
            <w:r>
              <w:rPr>
                <w:rFonts w:hint="eastAsia" w:ascii="仿宋" w:hAnsi="仿宋" w:eastAsia="仿宋" w:cs="仿宋"/>
                <w:sz w:val="21"/>
                <w:szCs w:val="21"/>
              </w:rPr>
              <w:t>甲状腺</w:t>
            </w:r>
          </w:p>
        </w:tc>
        <w:tc>
          <w:tcPr>
            <w:tcW w:w="1954" w:type="pct"/>
          </w:tcPr>
          <w:p>
            <w:pPr>
              <w:pStyle w:val="28"/>
              <w:spacing w:before="1" w:line="230" w:lineRule="auto"/>
              <w:ind w:left="40" w:right="117"/>
              <w:jc w:val="center"/>
              <w:rPr>
                <w:rFonts w:hint="eastAsia" w:ascii="仿宋" w:hAnsi="仿宋" w:eastAsia="仿宋" w:cs="仿宋"/>
                <w:sz w:val="21"/>
                <w:szCs w:val="21"/>
              </w:rPr>
            </w:pPr>
          </w:p>
          <w:p>
            <w:pPr>
              <w:pStyle w:val="11"/>
              <w:keepNext w:val="0"/>
              <w:keepLines w:val="0"/>
              <w:pageBreakBefore w:val="0"/>
              <w:widowControl w:val="0"/>
              <w:kinsoku/>
              <w:wordWrap/>
              <w:overflowPunct/>
              <w:topLinePunct w:val="0"/>
              <w:autoSpaceDE/>
              <w:autoSpaceDN/>
              <w:bidi w:val="0"/>
              <w:adjustRightInd w:val="0"/>
              <w:snapToGrid w:val="0"/>
              <w:spacing w:before="10"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通过彩色超声仪器更清晰地观察甲状腺肿物、结节、肿大、炎症；可发现甲状腺肿、甲状腺囊肿、甲状腺炎、甲状腺瘤、甲状腺癌等疾病。</w:t>
            </w:r>
          </w:p>
        </w:tc>
        <w:tc>
          <w:tcPr>
            <w:tcW w:w="242" w:type="pct"/>
            <w:gridSpan w:val="2"/>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spacing w:before="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10"/>
              <w:jc w:val="center"/>
              <w:rPr>
                <w:rFonts w:hint="eastAsia" w:ascii="仿宋" w:hAnsi="仿宋" w:eastAsia="仿宋" w:cs="仿宋"/>
                <w:sz w:val="21"/>
                <w:szCs w:val="21"/>
              </w:rPr>
            </w:pPr>
          </w:p>
          <w:p>
            <w:pPr>
              <w:pStyle w:val="11"/>
              <w:spacing w:before="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放射科</w:t>
            </w:r>
          </w:p>
        </w:tc>
        <w:tc>
          <w:tcPr>
            <w:tcW w:w="1174"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胸部正位</w:t>
            </w:r>
          </w:p>
        </w:tc>
        <w:tc>
          <w:tcPr>
            <w:tcW w:w="1954" w:type="pct"/>
          </w:tcPr>
          <w:p>
            <w:pPr>
              <w:pStyle w:val="11"/>
              <w:spacing w:before="1" w:line="230" w:lineRule="auto"/>
              <w:ind w:left="40" w:right="117"/>
              <w:jc w:val="center"/>
              <w:rPr>
                <w:rFonts w:hint="eastAsia" w:ascii="仿宋" w:hAnsi="仿宋" w:eastAsia="仿宋" w:cs="仿宋"/>
                <w:sz w:val="21"/>
                <w:szCs w:val="21"/>
              </w:rPr>
            </w:pPr>
          </w:p>
          <w:p>
            <w:pPr>
              <w:pStyle w:val="11"/>
              <w:spacing w:before="1"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检查心脏、两肺、纵隔、膈、胸膜，判断有无炎症、肿瘤等。</w:t>
            </w:r>
          </w:p>
          <w:p>
            <w:pPr>
              <w:pStyle w:val="11"/>
              <w:spacing w:before="1" w:line="230" w:lineRule="auto"/>
              <w:ind w:left="40" w:right="117"/>
              <w:jc w:val="center"/>
              <w:rPr>
                <w:rFonts w:hint="eastAsia" w:ascii="仿宋" w:hAnsi="仿宋" w:eastAsia="仿宋" w:cs="仿宋"/>
                <w:sz w:val="21"/>
                <w:szCs w:val="21"/>
              </w:rPr>
            </w:pPr>
          </w:p>
        </w:tc>
        <w:tc>
          <w:tcPr>
            <w:tcW w:w="242" w:type="pct"/>
            <w:gridSpan w:val="2"/>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心电图室</w:t>
            </w:r>
          </w:p>
        </w:tc>
        <w:tc>
          <w:tcPr>
            <w:tcW w:w="1174"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心电图</w:t>
            </w:r>
          </w:p>
        </w:tc>
        <w:tc>
          <w:tcPr>
            <w:tcW w:w="1954" w:type="pct"/>
          </w:tcPr>
          <w:p>
            <w:pPr>
              <w:pStyle w:val="11"/>
              <w:spacing w:before="1" w:line="230" w:lineRule="auto"/>
              <w:ind w:left="40" w:right="117"/>
              <w:jc w:val="center"/>
              <w:rPr>
                <w:rFonts w:hint="eastAsia" w:ascii="仿宋" w:hAnsi="仿宋" w:eastAsia="仿宋" w:cs="仿宋"/>
                <w:sz w:val="21"/>
                <w:szCs w:val="21"/>
              </w:rPr>
            </w:pPr>
            <w:r>
              <w:rPr>
                <w:rFonts w:hint="eastAsia" w:ascii="仿宋" w:hAnsi="仿宋" w:eastAsia="仿宋" w:cs="仿宋"/>
                <w:sz w:val="21"/>
                <w:szCs w:val="21"/>
              </w:rPr>
              <w:t>通过在体表特定部位同步记录和分析心脏每一个心动周期所产生电活动变化的曲线图形，为心脏疾病诊断、疗效评价、预后评估提供重要的依据。</w:t>
            </w:r>
          </w:p>
        </w:tc>
        <w:tc>
          <w:tcPr>
            <w:tcW w:w="242" w:type="pct"/>
            <w:gridSpan w:val="2"/>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28"/>
              <w:jc w:val="center"/>
              <w:rPr>
                <w:rFonts w:hint="eastAsia" w:ascii="仿宋" w:hAnsi="仿宋" w:eastAsia="仿宋" w:cs="仿宋"/>
                <w:sz w:val="21"/>
                <w:szCs w:val="21"/>
              </w:rPr>
            </w:pPr>
          </w:p>
          <w:p>
            <w:pPr>
              <w:pStyle w:val="28"/>
              <w:spacing w:before="1"/>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5000" w:type="pct"/>
            <w:gridSpan w:val="7"/>
            <w:shd w:val="clear" w:color="auto" w:fill="FFFF00"/>
            <w:vAlign w:val="center"/>
          </w:tcPr>
          <w:p>
            <w:pPr>
              <w:pStyle w:val="11"/>
              <w:jc w:val="center"/>
              <w:rPr>
                <w:rFonts w:hint="eastAsia" w:ascii="仿宋" w:hAnsi="仿宋" w:eastAsia="仿宋" w:cs="仿宋"/>
                <w:sz w:val="21"/>
                <w:szCs w:val="21"/>
              </w:rPr>
            </w:pPr>
            <w:r>
              <w:rPr>
                <w:rFonts w:hint="eastAsia" w:ascii="仿宋" w:hAnsi="仿宋" w:eastAsia="仿宋" w:cs="仿宋"/>
                <w:b/>
                <w:sz w:val="21"/>
                <w:szCs w:val="21"/>
              </w:rPr>
              <w:t>其它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625"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b/>
                <w:sz w:val="21"/>
                <w:szCs w:val="21"/>
              </w:rPr>
            </w:pPr>
            <w:r>
              <w:rPr>
                <w:rFonts w:hint="eastAsia" w:ascii="仿宋" w:hAnsi="仿宋" w:eastAsia="仿宋" w:cs="仿宋"/>
                <w:sz w:val="21"/>
                <w:szCs w:val="21"/>
              </w:rPr>
              <w:t>个检报告</w:t>
            </w:r>
          </w:p>
        </w:tc>
        <w:tc>
          <w:tcPr>
            <w:tcW w:w="1174"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sz w:val="21"/>
                <w:szCs w:val="21"/>
              </w:rPr>
              <w:t>经验丰富的老专家汇总报告</w:t>
            </w:r>
          </w:p>
        </w:tc>
        <w:tc>
          <w:tcPr>
            <w:tcW w:w="1954" w:type="pct"/>
          </w:tcPr>
          <w:p>
            <w:pPr>
              <w:pStyle w:val="28"/>
              <w:spacing w:before="3"/>
              <w:jc w:val="center"/>
              <w:rPr>
                <w:rFonts w:hint="eastAsia" w:ascii="仿宋" w:hAnsi="仿宋" w:eastAsia="仿宋" w:cs="仿宋"/>
                <w:sz w:val="21"/>
                <w:szCs w:val="21"/>
              </w:rPr>
            </w:pPr>
          </w:p>
          <w:p>
            <w:pPr>
              <w:pStyle w:val="11"/>
              <w:spacing w:before="1" w:line="230" w:lineRule="auto"/>
              <w:ind w:left="40" w:right="117"/>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242" w:type="pct"/>
            <w:gridSpan w:val="2"/>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3"/>
              <w:jc w:val="center"/>
              <w:rPr>
                <w:rFonts w:hint="eastAsia" w:ascii="仿宋" w:hAnsi="仿宋" w:eastAsia="仿宋" w:cs="仿宋"/>
                <w:sz w:val="21"/>
                <w:szCs w:val="21"/>
              </w:rPr>
            </w:pPr>
          </w:p>
          <w:p>
            <w:pPr>
              <w:pStyle w:val="11"/>
              <w:jc w:val="center"/>
              <w:rPr>
                <w:rFonts w:hint="eastAsia" w:ascii="仿宋" w:hAnsi="仿宋" w:eastAsia="仿宋" w:cs="仿宋"/>
                <w:sz w:val="21"/>
                <w:szCs w:val="21"/>
              </w:rPr>
            </w:pPr>
            <w:bookmarkStart w:id="2" w:name="OLE_LINK54"/>
            <w:bookmarkStart w:id="3" w:name="OLE_LINK53"/>
            <w:r>
              <w:rPr>
                <w:rFonts w:hint="eastAsia" w:ascii="仿宋" w:hAnsi="仿宋" w:eastAsia="仿宋" w:cs="仿宋"/>
                <w:w w:val="99"/>
                <w:sz w:val="21"/>
                <w:szCs w:val="21"/>
              </w:rPr>
              <w:t>√</w:t>
            </w:r>
            <w:bookmarkEnd w:id="2"/>
            <w:bookmarkEnd w:id="3"/>
          </w:p>
        </w:tc>
        <w:tc>
          <w:tcPr>
            <w:tcW w:w="542" w:type="pct"/>
          </w:tcPr>
          <w:p>
            <w:pPr>
              <w:pStyle w:val="11"/>
              <w:jc w:val="center"/>
              <w:rPr>
                <w:rFonts w:hint="eastAsia" w:ascii="仿宋" w:hAnsi="仿宋" w:eastAsia="仿宋" w:cs="仿宋"/>
                <w:w w:val="99"/>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3" w:hRule="atLeast"/>
        </w:trPr>
        <w:tc>
          <w:tcPr>
            <w:tcW w:w="625" w:type="pct"/>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餐厅</w:t>
            </w:r>
          </w:p>
        </w:tc>
        <w:tc>
          <w:tcPr>
            <w:tcW w:w="1174" w:type="pct"/>
          </w:tcPr>
          <w:p>
            <w:pPr>
              <w:pStyle w:val="11"/>
              <w:spacing w:before="3"/>
              <w:jc w:val="center"/>
              <w:rPr>
                <w:rFonts w:hint="eastAsia" w:ascii="仿宋" w:hAnsi="仿宋" w:eastAsia="仿宋" w:cs="仿宋"/>
                <w:sz w:val="21"/>
                <w:szCs w:val="21"/>
              </w:rPr>
            </w:pPr>
            <w:r>
              <w:rPr>
                <w:rFonts w:hint="eastAsia" w:ascii="仿宋" w:hAnsi="仿宋" w:eastAsia="仿宋" w:cs="仿宋"/>
                <w:sz w:val="21"/>
                <w:szCs w:val="21"/>
              </w:rPr>
              <w:t>小米粥、牛奶、鸡蛋、面包、小咸菜等营养丰富的早餐</w:t>
            </w:r>
          </w:p>
        </w:tc>
        <w:tc>
          <w:tcPr>
            <w:tcW w:w="1954" w:type="pct"/>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242" w:type="pct"/>
            <w:gridSpan w:val="2"/>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460" w:type="pct"/>
          </w:tcPr>
          <w:p>
            <w:pPr>
              <w:pStyle w:val="28"/>
              <w:spacing w:before="7"/>
              <w:jc w:val="center"/>
              <w:rPr>
                <w:rFonts w:hint="eastAsia" w:ascii="仿宋" w:hAnsi="仿宋" w:eastAsia="仿宋" w:cs="仿宋"/>
                <w:sz w:val="21"/>
                <w:szCs w:val="21"/>
              </w:rPr>
            </w:pPr>
          </w:p>
          <w:p>
            <w:pPr>
              <w:pStyle w:val="11"/>
              <w:spacing w:before="3"/>
              <w:jc w:val="center"/>
              <w:rPr>
                <w:rFonts w:hint="eastAsia" w:ascii="仿宋" w:hAnsi="仿宋" w:eastAsia="仿宋" w:cs="仿宋"/>
                <w:sz w:val="21"/>
                <w:szCs w:val="21"/>
              </w:rPr>
            </w:pPr>
            <w:r>
              <w:rPr>
                <w:rFonts w:hint="eastAsia" w:ascii="仿宋" w:hAnsi="仿宋" w:eastAsia="仿宋" w:cs="仿宋"/>
                <w:w w:val="99"/>
                <w:sz w:val="21"/>
                <w:szCs w:val="21"/>
              </w:rPr>
              <w:t>√</w:t>
            </w:r>
          </w:p>
        </w:tc>
        <w:tc>
          <w:tcPr>
            <w:tcW w:w="542" w:type="pct"/>
          </w:tcPr>
          <w:p>
            <w:pPr>
              <w:pStyle w:val="11"/>
              <w:jc w:val="center"/>
              <w:rPr>
                <w:rFonts w:hint="eastAsia" w:ascii="仿宋" w:hAnsi="仿宋" w:eastAsia="仿宋" w:cs="仿宋"/>
                <w:w w:val="99"/>
                <w:sz w:val="21"/>
                <w:szCs w:val="21"/>
              </w:rPr>
            </w:pPr>
          </w:p>
          <w:p>
            <w:pPr>
              <w:pStyle w:val="11"/>
              <w:jc w:val="center"/>
              <w:rPr>
                <w:rFonts w:hint="eastAsia" w:ascii="仿宋" w:hAnsi="仿宋" w:eastAsia="仿宋" w:cs="仿宋"/>
                <w:sz w:val="21"/>
                <w:szCs w:val="21"/>
              </w:rPr>
            </w:pPr>
            <w:r>
              <w:rPr>
                <w:rFonts w:hint="eastAsia" w:ascii="仿宋" w:hAnsi="仿宋" w:eastAsia="仿宋" w:cs="仿宋"/>
                <w:w w:val="99"/>
                <w:sz w:val="21"/>
                <w:szCs w:val="21"/>
              </w:rPr>
              <w:t>√</w:t>
            </w:r>
          </w:p>
        </w:tc>
      </w:tr>
    </w:tbl>
    <w:p>
      <w:pPr>
        <w:pStyle w:val="27"/>
        <w:spacing w:line="461" w:lineRule="exact"/>
        <w:jc w:val="center"/>
        <w:rPr>
          <w:rFonts w:hint="eastAsia" w:ascii="仿宋" w:hAnsi="仿宋" w:eastAsia="仿宋" w:cs="仿宋"/>
          <w:sz w:val="21"/>
          <w:szCs w:val="21"/>
          <w:lang w:val="en-US" w:eastAsia="zh-CN"/>
        </w:rPr>
      </w:pPr>
    </w:p>
    <w:p>
      <w:pPr>
        <w:pStyle w:val="30"/>
        <w:numPr>
          <w:ilvl w:val="0"/>
          <w:numId w:val="0"/>
        </w:numPr>
        <w:ind w:left="200"/>
        <w:jc w:val="center"/>
        <w:rPr>
          <w:rFonts w:hint="eastAsia" w:ascii="仿宋" w:hAnsi="仿宋" w:eastAsia="仿宋" w:cs="仿宋"/>
          <w:sz w:val="21"/>
          <w:szCs w:val="21"/>
        </w:rPr>
      </w:pPr>
      <w:bookmarkStart w:id="4" w:name="_Toc82730166"/>
      <w:r>
        <w:rPr>
          <w:rFonts w:hint="eastAsia" w:ascii="仿宋" w:hAnsi="仿宋" w:eastAsia="仿宋" w:cs="仿宋"/>
          <w:sz w:val="21"/>
          <w:szCs w:val="21"/>
        </w:rPr>
        <w:t>免费增项说明</w:t>
      </w:r>
      <w:bookmarkEnd w:id="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3845"/>
        <w:gridCol w:w="2991"/>
        <w:gridCol w:w="427"/>
        <w:gridCol w:w="500"/>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分类</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内容</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临床意义</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男</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女未婚</w:t>
            </w:r>
          </w:p>
        </w:tc>
        <w:tc>
          <w:tcPr>
            <w:tcW w:w="0" w:type="auto"/>
            <w:shd w:val="clear" w:color="auto" w:fill="D9D9D9"/>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女已婚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血流变</w:t>
            </w:r>
          </w:p>
        </w:tc>
        <w:tc>
          <w:tcPr>
            <w:tcW w:w="0" w:type="auto"/>
          </w:tcPr>
          <w:p>
            <w:pPr>
              <w:jc w:val="center"/>
              <w:rPr>
                <w:rFonts w:hint="eastAsia" w:ascii="仿宋" w:hAnsi="仿宋" w:eastAsia="仿宋" w:cs="仿宋"/>
                <w:sz w:val="21"/>
                <w:szCs w:val="21"/>
              </w:rPr>
            </w:pPr>
            <w:r>
              <w:rPr>
                <w:rFonts w:hint="eastAsia" w:ascii="仿宋" w:hAnsi="仿宋" w:eastAsia="仿宋" w:cs="仿宋"/>
                <w:sz w:val="21"/>
                <w:szCs w:val="21"/>
              </w:rPr>
              <w:t>全血粘度（高、中、低切）、血浆粘度、红细胞压积（HCT）、全血还原粘度（高、低切）、全血相对粘度（高、低切）、红细胞聚集指数、红细胞变形指数（DZ）、红细胞刚性指数（DI）等</w:t>
            </w:r>
          </w:p>
        </w:tc>
        <w:tc>
          <w:tcPr>
            <w:tcW w:w="0" w:type="auto"/>
          </w:tcPr>
          <w:p>
            <w:pPr>
              <w:jc w:val="center"/>
              <w:rPr>
                <w:rFonts w:hint="eastAsia" w:ascii="仿宋" w:hAnsi="仿宋" w:eastAsia="仿宋" w:cs="仿宋"/>
                <w:sz w:val="21"/>
                <w:szCs w:val="21"/>
              </w:rPr>
            </w:pPr>
            <w:r>
              <w:rPr>
                <w:rFonts w:hint="eastAsia" w:ascii="仿宋" w:hAnsi="仿宋" w:eastAsia="仿宋" w:cs="仿宋"/>
                <w:sz w:val="21"/>
                <w:szCs w:val="21"/>
              </w:rPr>
              <w:t>主要是反映由于血液成分变化，而带来的血液流动性、凝滞性和血液粘度的变化。当血液粘度变大时，血液流动性就变差，也就最容易发生脑血栓性疾病</w:t>
            </w:r>
          </w:p>
        </w:tc>
        <w:tc>
          <w:tcPr>
            <w:tcW w:w="0" w:type="auto"/>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0" w:type="auto"/>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0" w:type="auto"/>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r>
    </w:tbl>
    <w:p/>
    <w:p>
      <w:pPr>
        <w:rPr>
          <w:sz w:val="2"/>
          <w:szCs w:val="2"/>
        </w:rPr>
      </w:pPr>
    </w:p>
    <w:p>
      <w:pPr>
        <w:rPr>
          <w:sz w:val="2"/>
          <w:szCs w:val="2"/>
        </w:rPr>
      </w:pPr>
    </w:p>
    <w:p>
      <w:pPr>
        <w:rPr>
          <w:sz w:val="2"/>
          <w:szCs w:val="2"/>
        </w:rPr>
      </w:pPr>
      <w:bookmarkStart w:id="9" w:name="_GoBack"/>
      <w:bookmarkEnd w:id="9"/>
    </w:p>
    <w:p>
      <w:pPr>
        <w:rPr>
          <w:sz w:val="2"/>
          <w:szCs w:val="2"/>
        </w:rPr>
      </w:pPr>
    </w:p>
    <w:p>
      <w:pPr>
        <w:rPr>
          <w:sz w:val="2"/>
          <w:szCs w:val="2"/>
        </w:rPr>
      </w:pPr>
    </w:p>
    <w:p>
      <w:pPr>
        <w:pStyle w:val="30"/>
        <w:numPr>
          <w:ilvl w:val="0"/>
          <w:numId w:val="0"/>
        </w:numPr>
        <w:ind w:left="776" w:firstLine="632" w:firstLineChars="300"/>
        <w:rPr>
          <w:rFonts w:hint="eastAsia" w:ascii="宋体" w:hAnsi="宋体" w:eastAsia="宋体" w:cs="宋体"/>
          <w:sz w:val="21"/>
          <w:szCs w:val="21"/>
        </w:rPr>
      </w:pPr>
      <w:bookmarkStart w:id="5" w:name="_Toc82730167"/>
      <w:bookmarkStart w:id="6" w:name="bookmark78"/>
      <w:bookmarkStart w:id="7" w:name="bookmark77"/>
      <w:bookmarkStart w:id="8" w:name="bookmark79"/>
      <w:r>
        <w:rPr>
          <w:rFonts w:hint="eastAsia" w:ascii="宋体" w:hAnsi="宋体" w:eastAsia="宋体" w:cs="宋体"/>
          <w:sz w:val="21"/>
          <w:szCs w:val="21"/>
        </w:rPr>
        <w:t>202</w:t>
      </w:r>
      <w:r>
        <w:rPr>
          <w:rFonts w:hint="eastAsia" w:ascii="宋体" w:hAnsi="宋体" w:cs="宋体"/>
          <w:sz w:val="21"/>
          <w:szCs w:val="21"/>
          <w:lang w:val="en-US" w:eastAsia="zh-CN"/>
        </w:rPr>
        <w:t>3</w:t>
      </w:r>
      <w:r>
        <w:rPr>
          <w:rFonts w:hint="eastAsia" w:ascii="宋体" w:hAnsi="宋体" w:eastAsia="宋体" w:cs="宋体"/>
          <w:sz w:val="21"/>
          <w:szCs w:val="21"/>
        </w:rPr>
        <w:t>年律协体检套餐自选增加项（以下项目任选两项）</w:t>
      </w:r>
      <w:bookmarkEnd w:id="5"/>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2546"/>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D9D9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2912" w:type="dxa"/>
            <w:shd w:val="clear" w:color="auto" w:fill="D9D9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选项</w:t>
            </w:r>
          </w:p>
        </w:tc>
        <w:tc>
          <w:tcPr>
            <w:tcW w:w="6587" w:type="dxa"/>
            <w:shd w:val="clear" w:color="auto" w:fill="D9D9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具体细项内容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幽门螺旋杆菌检测</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C14呼气试验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甲状腺功能血项检测</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游离三碘甲状腺原氨酸（F-T3）、游离甲状腺素（F-T4）、促甲状腺素（TSH）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3</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增加血液生化检测项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碱性磷酸酶(ALP)、总胆红素(TBIL)、总蛋白(TPO)、白蛋白(ALB)、球蛋白(GLO)、白蛋白/球蛋白(A/G)。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男性肿瘤标志物检测项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游离前列腺特异抗原、游离前列腺特异抗原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女性肿瘤标志物检测项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CA125（卵巢癌）、CA15-3（乳腺癌）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女性宫颈癌检测项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宫颈超薄细胞检测(TCT)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7</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女性乳腺癌检测项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乳腺钼靶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8</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脑供血检测项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经颅多普勒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rPr>
                <w:rFonts w:hint="eastAsia" w:ascii="宋体" w:hAnsi="宋体" w:eastAsia="宋体" w:cs="宋体"/>
                <w:sz w:val="21"/>
                <w:szCs w:val="21"/>
              </w:rPr>
            </w:pPr>
            <w:r>
              <w:rPr>
                <w:rFonts w:hint="eastAsia" w:ascii="宋体" w:hAnsi="宋体" w:eastAsia="宋体" w:cs="宋体"/>
                <w:sz w:val="21"/>
                <w:szCs w:val="21"/>
              </w:rPr>
              <w:t>9</w:t>
            </w:r>
          </w:p>
        </w:tc>
        <w:tc>
          <w:tcPr>
            <w:tcW w:w="2912" w:type="dxa"/>
            <w:vAlign w:val="center"/>
          </w:tcPr>
          <w:p>
            <w:pPr>
              <w:rPr>
                <w:rFonts w:hint="eastAsia" w:ascii="宋体" w:hAnsi="宋体" w:eastAsia="宋体" w:cs="宋体"/>
                <w:sz w:val="21"/>
                <w:szCs w:val="21"/>
              </w:rPr>
            </w:pPr>
            <w:r>
              <w:rPr>
                <w:rFonts w:hint="eastAsia" w:ascii="宋体" w:hAnsi="宋体" w:eastAsia="宋体" w:cs="宋体"/>
                <w:sz w:val="21"/>
                <w:szCs w:val="21"/>
              </w:rPr>
              <w:t>心脏功能检测项</w:t>
            </w:r>
          </w:p>
        </w:tc>
        <w:tc>
          <w:tcPr>
            <w:tcW w:w="6587" w:type="dxa"/>
            <w:vAlign w:val="center"/>
          </w:tcPr>
          <w:p>
            <w:pPr>
              <w:rPr>
                <w:rFonts w:hint="eastAsia" w:ascii="宋体" w:hAnsi="宋体" w:eastAsia="宋体" w:cs="宋体"/>
                <w:sz w:val="21"/>
                <w:szCs w:val="21"/>
              </w:rPr>
            </w:pPr>
            <w:r>
              <w:rPr>
                <w:rFonts w:hint="eastAsia" w:ascii="宋体" w:hAnsi="宋体" w:eastAsia="宋体" w:cs="宋体"/>
                <w:sz w:val="21"/>
                <w:szCs w:val="21"/>
              </w:rPr>
              <w:t>心脏彩超</w:t>
            </w:r>
          </w:p>
        </w:tc>
      </w:tr>
      <w:bookmarkEnd w:id="6"/>
      <w:bookmarkEnd w:id="7"/>
      <w:bookmarkEnd w:id="8"/>
    </w:tbl>
    <w:p/>
    <w:p/>
    <w:p/>
    <w:p/>
    <w:p/>
    <w:p/>
    <w:p/>
    <w:p/>
    <w:p/>
    <w:p/>
    <w:p/>
    <w:p/>
    <w:p>
      <w:pPr>
        <w:tabs>
          <w:tab w:val="left" w:pos="-105"/>
        </w:tabs>
        <w:ind w:right="-240" w:rightChars="-100"/>
        <w:jc w:val="center"/>
        <w:rPr>
          <w:rFonts w:ascii="楷体_GB2312" w:hAnsi="宋体" w:eastAsia="楷体_GB2312"/>
          <w:b/>
          <w:bCs/>
          <w:kern w:val="0"/>
          <w:position w:val="-6"/>
          <w:sz w:val="36"/>
          <w:szCs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5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SimSun-ExtB">
    <w:panose1 w:val="02010609060101010101"/>
    <w:charset w:val="86"/>
    <w:family w:val="modern"/>
    <w:pitch w:val="default"/>
    <w:sig w:usb0="00000001" w:usb1="02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r>
      <w:pict>
        <v:shape id="对象 2" o:spid="_x0000_s4097" o:spt="75" alt="徽标&#10;&#10;描述已自动生成" type="#_x0000_t75" style="position:absolute;left:0pt;margin-left:-32.05pt;margin-top:-40.6pt;height:63pt;width:63pt;z-index:251659264;mso-width-relative:page;mso-height-relative:page;" o:ole="t" filled="f" o:preferrelative="t" stroked="f" coordsize="21600,21600">
          <v:path/>
          <v:fill on="f" focussize="0,0"/>
          <v:stroke on="f" joinstyle="miter"/>
          <v:imagedata r:id="rId2" o:title=""/>
          <o:lock v:ext="edit" aspectratio="t"/>
        </v:shape>
        <o:OLEObject Type="Embed" ProgID="PBrush" ShapeID="对象 2" DrawAspect="Content" ObjectID="_1468075725" r:id="rId1">
          <o:LockedField>false</o:LockedField>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E643C"/>
    <w:multiLevelType w:val="multilevel"/>
    <w:tmpl w:val="5C9E643C"/>
    <w:lvl w:ilvl="0" w:tentative="0">
      <w:start w:val="1"/>
      <w:numFmt w:val="chineseCountingThousand"/>
      <w:pStyle w:val="29"/>
      <w:lvlText w:val="%1、"/>
      <w:lvlJc w:val="left"/>
      <w:pPr>
        <w:ind w:left="632" w:hanging="432"/>
      </w:pPr>
      <w:rPr>
        <w:rFonts w:hint="eastAsia" w:cs="Times New Roman"/>
      </w:rPr>
    </w:lvl>
    <w:lvl w:ilvl="1" w:tentative="0">
      <w:start w:val="1"/>
      <w:numFmt w:val="decimal"/>
      <w:pStyle w:val="30"/>
      <w:isLgl/>
      <w:lvlText w:val="%1.%2 "/>
      <w:lvlJc w:val="left"/>
      <w:pPr>
        <w:ind w:left="776" w:hanging="576"/>
      </w:pPr>
      <w:rPr>
        <w:rFonts w:hint="eastAsia" w:cs="Times New Roman"/>
      </w:rPr>
    </w:lvl>
    <w:lvl w:ilvl="2" w:tentative="0">
      <w:start w:val="1"/>
      <w:numFmt w:val="decimal"/>
      <w:pStyle w:val="31"/>
      <w:isLgl/>
      <w:lvlText w:val="%1.%2.%3"/>
      <w:lvlJc w:val="left"/>
      <w:pPr>
        <w:ind w:left="920" w:hanging="720"/>
      </w:pPr>
      <w:rPr>
        <w:rFonts w:hint="eastAsia" w:cs="Times New Roman"/>
      </w:rPr>
    </w:lvl>
    <w:lvl w:ilvl="3" w:tentative="0">
      <w:start w:val="1"/>
      <w:numFmt w:val="decimal"/>
      <w:pStyle w:val="5"/>
      <w:lvlText w:val="%1.%2.%3.%4"/>
      <w:lvlJc w:val="left"/>
      <w:pPr>
        <w:ind w:left="1064" w:hanging="864"/>
      </w:pPr>
      <w:rPr>
        <w:rFonts w:hint="eastAsia" w:cs="Times New Roman"/>
      </w:rPr>
    </w:lvl>
    <w:lvl w:ilvl="4" w:tentative="0">
      <w:start w:val="1"/>
      <w:numFmt w:val="decimal"/>
      <w:pStyle w:val="6"/>
      <w:lvlText w:val="%1.%2.%3.%4.%5"/>
      <w:lvlJc w:val="left"/>
      <w:pPr>
        <w:ind w:left="1208" w:hanging="1008"/>
      </w:pPr>
      <w:rPr>
        <w:rFonts w:hint="eastAsia" w:cs="Times New Roman"/>
      </w:rPr>
    </w:lvl>
    <w:lvl w:ilvl="5" w:tentative="0">
      <w:start w:val="1"/>
      <w:numFmt w:val="decimal"/>
      <w:pStyle w:val="7"/>
      <w:lvlText w:val="%1.%2.%3.%4.%5.%6"/>
      <w:lvlJc w:val="left"/>
      <w:pPr>
        <w:ind w:left="1352" w:hanging="1152"/>
      </w:pPr>
      <w:rPr>
        <w:rFonts w:hint="eastAsia" w:cs="Times New Roman"/>
      </w:rPr>
    </w:lvl>
    <w:lvl w:ilvl="6" w:tentative="0">
      <w:start w:val="1"/>
      <w:numFmt w:val="decimal"/>
      <w:pStyle w:val="8"/>
      <w:lvlText w:val="%1.%2.%3.%4.%5.%6.%7"/>
      <w:lvlJc w:val="left"/>
      <w:pPr>
        <w:ind w:left="1496" w:hanging="1296"/>
      </w:pPr>
      <w:rPr>
        <w:rFonts w:hint="eastAsia" w:cs="Times New Roman"/>
      </w:rPr>
    </w:lvl>
    <w:lvl w:ilvl="7" w:tentative="0">
      <w:start w:val="1"/>
      <w:numFmt w:val="decimal"/>
      <w:pStyle w:val="9"/>
      <w:lvlText w:val="%1.%2.%3.%4.%5.%6.%7.%8"/>
      <w:lvlJc w:val="left"/>
      <w:pPr>
        <w:ind w:left="1640" w:hanging="1440"/>
      </w:pPr>
      <w:rPr>
        <w:rFonts w:hint="eastAsia" w:cs="Times New Roman"/>
      </w:rPr>
    </w:lvl>
    <w:lvl w:ilvl="8" w:tentative="0">
      <w:start w:val="1"/>
      <w:numFmt w:val="decimal"/>
      <w:pStyle w:val="10"/>
      <w:lvlText w:val="%1.%2.%3.%4.%5.%6.%7.%8.%9"/>
      <w:lvlJc w:val="left"/>
      <w:pPr>
        <w:ind w:left="17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DEyNzNlNDc1NTQ2M2Y1MzA2MTJiMTFmNTg2ZTkifQ=="/>
  </w:docVars>
  <w:rsids>
    <w:rsidRoot w:val="00E47EE8"/>
    <w:rsid w:val="000023AA"/>
    <w:rsid w:val="000248B2"/>
    <w:rsid w:val="00047DF9"/>
    <w:rsid w:val="000D60F2"/>
    <w:rsid w:val="001072C6"/>
    <w:rsid w:val="001177C0"/>
    <w:rsid w:val="00184F51"/>
    <w:rsid w:val="00186220"/>
    <w:rsid w:val="001972F3"/>
    <w:rsid w:val="001D6533"/>
    <w:rsid w:val="001E6EE8"/>
    <w:rsid w:val="002045EE"/>
    <w:rsid w:val="00291653"/>
    <w:rsid w:val="002B6A6F"/>
    <w:rsid w:val="00390DFD"/>
    <w:rsid w:val="003B109D"/>
    <w:rsid w:val="003C2581"/>
    <w:rsid w:val="003D3221"/>
    <w:rsid w:val="00431D4A"/>
    <w:rsid w:val="0043457E"/>
    <w:rsid w:val="0045300A"/>
    <w:rsid w:val="00492AE5"/>
    <w:rsid w:val="004A2619"/>
    <w:rsid w:val="004F77AC"/>
    <w:rsid w:val="005B3471"/>
    <w:rsid w:val="005B34F0"/>
    <w:rsid w:val="005C2EFC"/>
    <w:rsid w:val="00610A66"/>
    <w:rsid w:val="00644840"/>
    <w:rsid w:val="006521E3"/>
    <w:rsid w:val="006738A8"/>
    <w:rsid w:val="00764F4B"/>
    <w:rsid w:val="007824A7"/>
    <w:rsid w:val="007863A8"/>
    <w:rsid w:val="007B2795"/>
    <w:rsid w:val="00815018"/>
    <w:rsid w:val="00826F5F"/>
    <w:rsid w:val="00853CDD"/>
    <w:rsid w:val="0087572C"/>
    <w:rsid w:val="008B3043"/>
    <w:rsid w:val="008D036F"/>
    <w:rsid w:val="009448D0"/>
    <w:rsid w:val="009651F4"/>
    <w:rsid w:val="009E32EE"/>
    <w:rsid w:val="00A030CA"/>
    <w:rsid w:val="00A04461"/>
    <w:rsid w:val="00A27F74"/>
    <w:rsid w:val="00A7389A"/>
    <w:rsid w:val="00A841D9"/>
    <w:rsid w:val="00AA6529"/>
    <w:rsid w:val="00B04BD4"/>
    <w:rsid w:val="00B87E91"/>
    <w:rsid w:val="00B9712E"/>
    <w:rsid w:val="00BF35D3"/>
    <w:rsid w:val="00C25A08"/>
    <w:rsid w:val="00C762CA"/>
    <w:rsid w:val="00C844F3"/>
    <w:rsid w:val="00D01BB8"/>
    <w:rsid w:val="00D108ED"/>
    <w:rsid w:val="00D42D2C"/>
    <w:rsid w:val="00D67B4A"/>
    <w:rsid w:val="00E47EE8"/>
    <w:rsid w:val="00E673D5"/>
    <w:rsid w:val="00E81571"/>
    <w:rsid w:val="00EC3548"/>
    <w:rsid w:val="00F65525"/>
    <w:rsid w:val="00F72E23"/>
    <w:rsid w:val="018B3BB0"/>
    <w:rsid w:val="058925D4"/>
    <w:rsid w:val="06F16BC5"/>
    <w:rsid w:val="18B00CD5"/>
    <w:rsid w:val="217F6677"/>
    <w:rsid w:val="21D53B5E"/>
    <w:rsid w:val="227710FC"/>
    <w:rsid w:val="24594095"/>
    <w:rsid w:val="25D725DE"/>
    <w:rsid w:val="338C3013"/>
    <w:rsid w:val="44164CE1"/>
    <w:rsid w:val="501A5142"/>
    <w:rsid w:val="51932FAD"/>
    <w:rsid w:val="52D625D5"/>
    <w:rsid w:val="534327B1"/>
    <w:rsid w:val="58B2085E"/>
    <w:rsid w:val="59161BC0"/>
    <w:rsid w:val="5DDD12BE"/>
    <w:rsid w:val="6865617D"/>
    <w:rsid w:val="6EE20FEE"/>
    <w:rsid w:val="7FD921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Calibri" w:hAnsi="Calibri" w:eastAsia="宋体" w:cs="Times New Roman"/>
      <w:kern w:val="2"/>
      <w:sz w:val="24"/>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paragraph" w:styleId="5">
    <w:name w:val="heading 4"/>
    <w:basedOn w:val="1"/>
    <w:next w:val="1"/>
    <w:link w:val="19"/>
    <w:qFormat/>
    <w:uiPriority w:val="99"/>
    <w:pPr>
      <w:keepNext/>
      <w:keepLines/>
      <w:numPr>
        <w:ilvl w:val="3"/>
        <w:numId w:val="1"/>
      </w:numPr>
      <w:spacing w:before="280" w:after="290" w:line="376" w:lineRule="auto"/>
      <w:outlineLvl w:val="3"/>
    </w:pPr>
    <w:rPr>
      <w:rFonts w:ascii="Cambria" w:hAnsi="Cambria"/>
      <w:b/>
      <w:bCs/>
      <w:kern w:val="0"/>
      <w:sz w:val="28"/>
      <w:szCs w:val="28"/>
    </w:rPr>
  </w:style>
  <w:style w:type="paragraph" w:styleId="6">
    <w:name w:val="heading 5"/>
    <w:basedOn w:val="1"/>
    <w:next w:val="1"/>
    <w:link w:val="20"/>
    <w:qFormat/>
    <w:uiPriority w:val="99"/>
    <w:pPr>
      <w:keepNext/>
      <w:keepLines/>
      <w:numPr>
        <w:ilvl w:val="4"/>
        <w:numId w:val="1"/>
      </w:numPr>
      <w:spacing w:before="280" w:after="290" w:line="376" w:lineRule="auto"/>
      <w:outlineLvl w:val="4"/>
    </w:pPr>
    <w:rPr>
      <w:b/>
      <w:bCs/>
      <w:kern w:val="0"/>
      <w:sz w:val="28"/>
      <w:szCs w:val="28"/>
    </w:rPr>
  </w:style>
  <w:style w:type="paragraph" w:styleId="7">
    <w:name w:val="heading 6"/>
    <w:basedOn w:val="1"/>
    <w:next w:val="1"/>
    <w:link w:val="21"/>
    <w:qFormat/>
    <w:uiPriority w:val="99"/>
    <w:pPr>
      <w:keepNext/>
      <w:keepLines/>
      <w:numPr>
        <w:ilvl w:val="5"/>
        <w:numId w:val="1"/>
      </w:numPr>
      <w:spacing w:before="240" w:after="64" w:line="320" w:lineRule="auto"/>
      <w:outlineLvl w:val="5"/>
    </w:pPr>
    <w:rPr>
      <w:rFonts w:ascii="Cambria" w:hAnsi="Cambria"/>
      <w:b/>
      <w:bCs/>
      <w:kern w:val="0"/>
    </w:rPr>
  </w:style>
  <w:style w:type="paragraph" w:styleId="8">
    <w:name w:val="heading 7"/>
    <w:basedOn w:val="1"/>
    <w:next w:val="1"/>
    <w:link w:val="22"/>
    <w:qFormat/>
    <w:uiPriority w:val="99"/>
    <w:pPr>
      <w:keepNext/>
      <w:keepLines/>
      <w:numPr>
        <w:ilvl w:val="6"/>
        <w:numId w:val="1"/>
      </w:numPr>
      <w:spacing w:before="240" w:after="64" w:line="320" w:lineRule="auto"/>
      <w:outlineLvl w:val="6"/>
    </w:pPr>
    <w:rPr>
      <w:b/>
      <w:bCs/>
      <w:kern w:val="0"/>
    </w:rPr>
  </w:style>
  <w:style w:type="paragraph" w:styleId="9">
    <w:name w:val="heading 8"/>
    <w:basedOn w:val="1"/>
    <w:next w:val="1"/>
    <w:link w:val="23"/>
    <w:qFormat/>
    <w:uiPriority w:val="99"/>
    <w:pPr>
      <w:keepNext/>
      <w:keepLines/>
      <w:numPr>
        <w:ilvl w:val="7"/>
        <w:numId w:val="1"/>
      </w:numPr>
      <w:spacing w:before="240" w:after="64" w:line="320" w:lineRule="auto"/>
      <w:outlineLvl w:val="7"/>
    </w:pPr>
    <w:rPr>
      <w:rFonts w:ascii="Cambria" w:hAnsi="Cambria"/>
      <w:kern w:val="0"/>
    </w:rPr>
  </w:style>
  <w:style w:type="paragraph" w:styleId="10">
    <w:name w:val="heading 9"/>
    <w:basedOn w:val="1"/>
    <w:next w:val="1"/>
    <w:link w:val="24"/>
    <w:qFormat/>
    <w:uiPriority w:val="99"/>
    <w:pPr>
      <w:keepNext/>
      <w:keepLines/>
      <w:numPr>
        <w:ilvl w:val="8"/>
        <w:numId w:val="1"/>
      </w:numPr>
      <w:spacing w:before="240" w:after="64" w:line="320" w:lineRule="auto"/>
      <w:outlineLvl w:val="8"/>
    </w:pPr>
    <w:rPr>
      <w:rFonts w:ascii="Cambria" w:hAnsi="Cambria"/>
      <w:kern w:val="0"/>
      <w:sz w:val="20"/>
      <w:szCs w:val="21"/>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
    <w:qFormat/>
    <w:uiPriority w:val="99"/>
    <w:rPr>
      <w:sz w:val="18"/>
      <w:szCs w:val="18"/>
    </w:rPr>
  </w:style>
  <w:style w:type="paragraph" w:styleId="12">
    <w:name w:val="footer"/>
    <w:basedOn w:val="1"/>
    <w:link w:val="32"/>
    <w:qFormat/>
    <w:uiPriority w:val="99"/>
    <w:pPr>
      <w:tabs>
        <w:tab w:val="center" w:pos="4153"/>
        <w:tab w:val="right" w:pos="8306"/>
      </w:tabs>
      <w:spacing w:line="240" w:lineRule="auto"/>
      <w:jc w:val="left"/>
    </w:pPr>
    <w:rPr>
      <w:sz w:val="18"/>
      <w:szCs w:val="18"/>
    </w:rPr>
  </w:style>
  <w:style w:type="paragraph" w:styleId="13">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pPr>
    <w:rPr>
      <w:kern w:val="0"/>
      <w:sz w:val="18"/>
      <w:szCs w:val="18"/>
    </w:rPr>
  </w:style>
  <w:style w:type="character" w:customStyle="1" w:styleId="16">
    <w:name w:val="Heading 1 Char"/>
    <w:basedOn w:val="15"/>
    <w:link w:val="2"/>
    <w:qFormat/>
    <w:uiPriority w:val="9"/>
    <w:rPr>
      <w:rFonts w:ascii="Calibri" w:hAnsi="Calibri"/>
      <w:b/>
      <w:bCs/>
      <w:kern w:val="44"/>
      <w:sz w:val="44"/>
      <w:szCs w:val="44"/>
    </w:rPr>
  </w:style>
  <w:style w:type="character" w:customStyle="1" w:styleId="17">
    <w:name w:val="Heading 2 Char"/>
    <w:basedOn w:val="15"/>
    <w:link w:val="3"/>
    <w:semiHidden/>
    <w:qFormat/>
    <w:uiPriority w:val="9"/>
    <w:rPr>
      <w:rFonts w:asciiTheme="majorHAnsi" w:hAnsiTheme="majorHAnsi" w:eastAsiaTheme="majorEastAsia" w:cstheme="majorBidi"/>
      <w:b/>
      <w:bCs/>
      <w:sz w:val="32"/>
      <w:szCs w:val="32"/>
    </w:rPr>
  </w:style>
  <w:style w:type="character" w:customStyle="1" w:styleId="18">
    <w:name w:val="Heading 3 Char"/>
    <w:basedOn w:val="15"/>
    <w:link w:val="4"/>
    <w:semiHidden/>
    <w:qFormat/>
    <w:uiPriority w:val="9"/>
    <w:rPr>
      <w:rFonts w:ascii="Calibri" w:hAnsi="Calibri"/>
      <w:b/>
      <w:bCs/>
      <w:sz w:val="32"/>
      <w:szCs w:val="32"/>
    </w:rPr>
  </w:style>
  <w:style w:type="character" w:customStyle="1" w:styleId="19">
    <w:name w:val="Heading 4 Char"/>
    <w:basedOn w:val="15"/>
    <w:link w:val="5"/>
    <w:semiHidden/>
    <w:qFormat/>
    <w:uiPriority w:val="9"/>
    <w:rPr>
      <w:rFonts w:asciiTheme="majorHAnsi" w:hAnsiTheme="majorHAnsi" w:eastAsiaTheme="majorEastAsia" w:cstheme="majorBidi"/>
      <w:b/>
      <w:bCs/>
      <w:sz w:val="28"/>
      <w:szCs w:val="28"/>
    </w:rPr>
  </w:style>
  <w:style w:type="character" w:customStyle="1" w:styleId="20">
    <w:name w:val="Heading 5 Char"/>
    <w:basedOn w:val="15"/>
    <w:link w:val="6"/>
    <w:semiHidden/>
    <w:qFormat/>
    <w:uiPriority w:val="9"/>
    <w:rPr>
      <w:rFonts w:ascii="Calibri" w:hAnsi="Calibri"/>
      <w:b/>
      <w:bCs/>
      <w:sz w:val="28"/>
      <w:szCs w:val="28"/>
    </w:rPr>
  </w:style>
  <w:style w:type="character" w:customStyle="1" w:styleId="21">
    <w:name w:val="Heading 6 Char"/>
    <w:basedOn w:val="15"/>
    <w:link w:val="7"/>
    <w:semiHidden/>
    <w:uiPriority w:val="9"/>
    <w:rPr>
      <w:rFonts w:asciiTheme="majorHAnsi" w:hAnsiTheme="majorHAnsi" w:eastAsiaTheme="majorEastAsia" w:cstheme="majorBidi"/>
      <w:b/>
      <w:bCs/>
      <w:sz w:val="24"/>
      <w:szCs w:val="24"/>
    </w:rPr>
  </w:style>
  <w:style w:type="character" w:customStyle="1" w:styleId="22">
    <w:name w:val="Heading 7 Char"/>
    <w:basedOn w:val="15"/>
    <w:link w:val="8"/>
    <w:semiHidden/>
    <w:qFormat/>
    <w:uiPriority w:val="9"/>
    <w:rPr>
      <w:rFonts w:ascii="Calibri" w:hAnsi="Calibri"/>
      <w:b/>
      <w:bCs/>
      <w:sz w:val="24"/>
      <w:szCs w:val="24"/>
    </w:rPr>
  </w:style>
  <w:style w:type="character" w:customStyle="1" w:styleId="23">
    <w:name w:val="Heading 8 Char"/>
    <w:basedOn w:val="15"/>
    <w:link w:val="9"/>
    <w:semiHidden/>
    <w:qFormat/>
    <w:uiPriority w:val="9"/>
    <w:rPr>
      <w:rFonts w:asciiTheme="majorHAnsi" w:hAnsiTheme="majorHAnsi" w:eastAsiaTheme="majorEastAsia" w:cstheme="majorBidi"/>
      <w:sz w:val="24"/>
      <w:szCs w:val="24"/>
    </w:rPr>
  </w:style>
  <w:style w:type="character" w:customStyle="1" w:styleId="24">
    <w:name w:val="Heading 9 Char"/>
    <w:basedOn w:val="15"/>
    <w:link w:val="10"/>
    <w:semiHidden/>
    <w:qFormat/>
    <w:uiPriority w:val="9"/>
    <w:rPr>
      <w:rFonts w:asciiTheme="majorHAnsi" w:hAnsiTheme="majorHAnsi" w:eastAsiaTheme="majorEastAsia" w:cstheme="majorBidi"/>
      <w:szCs w:val="21"/>
    </w:rPr>
  </w:style>
  <w:style w:type="character" w:customStyle="1" w:styleId="25">
    <w:name w:val="Balloon Text Char"/>
    <w:basedOn w:val="15"/>
    <w:link w:val="11"/>
    <w:qFormat/>
    <w:locked/>
    <w:uiPriority w:val="99"/>
    <w:rPr>
      <w:rFonts w:ascii="Calibri" w:hAnsi="Calibri" w:eastAsia="宋体"/>
      <w:kern w:val="2"/>
      <w:sz w:val="18"/>
      <w:lang w:val="en-US" w:eastAsia="zh-CN"/>
    </w:rPr>
  </w:style>
  <w:style w:type="character" w:customStyle="1" w:styleId="26">
    <w:name w:val="Header Char"/>
    <w:basedOn w:val="15"/>
    <w:link w:val="13"/>
    <w:semiHidden/>
    <w:qFormat/>
    <w:locked/>
    <w:uiPriority w:val="99"/>
    <w:rPr>
      <w:rFonts w:ascii="Calibri" w:hAnsi="Calibri" w:eastAsia="宋体"/>
      <w:sz w:val="18"/>
      <w:lang w:val="en-US" w:eastAsia="zh-CN"/>
    </w:rPr>
  </w:style>
  <w:style w:type="paragraph" w:customStyle="1" w:styleId="27">
    <w:name w:val="Body text|1"/>
    <w:basedOn w:val="1"/>
    <w:qFormat/>
    <w:uiPriority w:val="99"/>
    <w:pPr>
      <w:spacing w:line="415" w:lineRule="auto"/>
    </w:pPr>
    <w:rPr>
      <w:rFonts w:ascii="宋体" w:hAnsi="宋体" w:cs="宋体"/>
      <w:lang w:val="zh-TW" w:eastAsia="zh-TW"/>
    </w:rPr>
  </w:style>
  <w:style w:type="paragraph" w:customStyle="1" w:styleId="28">
    <w:name w:val="Table Paragraph"/>
    <w:basedOn w:val="1"/>
    <w:uiPriority w:val="99"/>
    <w:rPr>
      <w:rFonts w:ascii="宋体" w:hAnsi="宋体" w:cs="宋体"/>
      <w:lang w:val="zh-CN"/>
    </w:rPr>
  </w:style>
  <w:style w:type="paragraph" w:customStyle="1" w:styleId="29">
    <w:name w:val="九华1"/>
    <w:basedOn w:val="2"/>
    <w:qFormat/>
    <w:uiPriority w:val="99"/>
    <w:pPr>
      <w:numPr>
        <w:ilvl w:val="0"/>
        <w:numId w:val="1"/>
      </w:numPr>
      <w:spacing w:before="0" w:after="0" w:line="480" w:lineRule="auto"/>
      <w:jc w:val="center"/>
    </w:pPr>
    <w:rPr>
      <w:rFonts w:ascii="方正小标宋简体" w:hAnsi="方正小标宋简体" w:eastAsia="SimSun-ExtB" w:cs="方正小标宋简体"/>
      <w:sz w:val="28"/>
      <w:szCs w:val="28"/>
    </w:rPr>
  </w:style>
  <w:style w:type="paragraph" w:customStyle="1" w:styleId="30">
    <w:name w:val="九华2"/>
    <w:basedOn w:val="3"/>
    <w:next w:val="1"/>
    <w:qFormat/>
    <w:uiPriority w:val="99"/>
    <w:pPr>
      <w:numPr>
        <w:ilvl w:val="1"/>
        <w:numId w:val="1"/>
      </w:numPr>
      <w:spacing w:before="0" w:after="0" w:line="360" w:lineRule="auto"/>
    </w:pPr>
    <w:rPr>
      <w:rFonts w:ascii="Cambria" w:hAnsi="Cambria" w:eastAsia="宋体"/>
      <w:kern w:val="0"/>
    </w:rPr>
  </w:style>
  <w:style w:type="paragraph" w:customStyle="1" w:styleId="31">
    <w:name w:val="九华3"/>
    <w:basedOn w:val="4"/>
    <w:next w:val="4"/>
    <w:qFormat/>
    <w:uiPriority w:val="99"/>
    <w:pPr>
      <w:numPr>
        <w:ilvl w:val="2"/>
        <w:numId w:val="1"/>
      </w:numPr>
      <w:spacing w:line="415" w:lineRule="auto"/>
      <w:ind w:left="200" w:leftChars="200"/>
    </w:pPr>
    <w:rPr>
      <w:kern w:val="0"/>
    </w:rPr>
  </w:style>
  <w:style w:type="character" w:customStyle="1" w:styleId="32">
    <w:name w:val="Footer Char"/>
    <w:basedOn w:val="15"/>
    <w:link w:val="1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7</Pages>
  <Words>3388</Words>
  <Characters>3587</Characters>
  <Lines>0</Lines>
  <Paragraphs>0</Paragraphs>
  <TotalTime>35</TotalTime>
  <ScaleCrop>false</ScaleCrop>
  <LinksUpToDate>false</LinksUpToDate>
  <CharactersWithSpaces>3614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2021-11-11T04:32:00Z</dcterms:created>
  <dc:creator>USER</dc:creator>
  <cp:lastModifiedBy>市律协会员部</cp:lastModifiedBy>
  <dcterms:modified xsi:type="dcterms:W3CDTF">2023-05-17T08:06:59Z</dcterms:modified>
  <dc:title>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C695B65F11E94B918B1A4B4D3D6FBD18</vt:lpwstr>
  </property>
</Properties>
</file>