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D4" w:rsidRDefault="005619D4" w:rsidP="005619D4">
      <w:pPr>
        <w:jc w:val="left"/>
        <w:rPr>
          <w:rFonts w:asciiTheme="majorEastAsia" w:eastAsiaTheme="majorEastAsia" w:hAnsiTheme="majorEastAsia"/>
          <w:b/>
          <w:color w:val="444444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444444"/>
          <w:sz w:val="32"/>
          <w:szCs w:val="32"/>
          <w:shd w:val="clear" w:color="auto" w:fill="FFFFFF"/>
        </w:rPr>
        <w:t>附件1：</w:t>
      </w:r>
    </w:p>
    <w:p w:rsidR="005619D4" w:rsidRPr="003D259A" w:rsidRDefault="005619D4" w:rsidP="005619D4">
      <w:pPr>
        <w:jc w:val="left"/>
        <w:rPr>
          <w:rFonts w:asciiTheme="majorEastAsia" w:eastAsiaTheme="majorEastAsia" w:hAnsiTheme="majorEastAsia"/>
          <w:b/>
          <w:color w:val="444444"/>
          <w:sz w:val="32"/>
          <w:szCs w:val="32"/>
          <w:shd w:val="clear" w:color="auto" w:fill="FFFFFF"/>
        </w:rPr>
      </w:pPr>
    </w:p>
    <w:p w:rsidR="005619D4" w:rsidRDefault="005619D4" w:rsidP="005619D4">
      <w:pPr>
        <w:jc w:val="center"/>
        <w:rPr>
          <w:rFonts w:asciiTheme="majorEastAsia" w:eastAsiaTheme="majorEastAsia" w:hAnsiTheme="majorEastAsia"/>
          <w:b/>
          <w:color w:val="444444"/>
          <w:sz w:val="44"/>
          <w:szCs w:val="44"/>
          <w:shd w:val="clear" w:color="auto" w:fill="FFFFFF"/>
        </w:rPr>
      </w:pPr>
      <w:bookmarkStart w:id="0" w:name="_GoBack"/>
      <w:r w:rsidRPr="003D259A">
        <w:rPr>
          <w:rFonts w:asciiTheme="majorEastAsia" w:eastAsiaTheme="majorEastAsia" w:hAnsiTheme="majorEastAsia" w:hint="eastAsia"/>
          <w:b/>
          <w:color w:val="444444"/>
          <w:sz w:val="44"/>
          <w:szCs w:val="44"/>
          <w:shd w:val="clear" w:color="auto" w:fill="FFFFFF"/>
        </w:rPr>
        <w:t>中华全国律师协会</w:t>
      </w:r>
      <w:bookmarkEnd w:id="0"/>
    </w:p>
    <w:p w:rsidR="005619D4" w:rsidRDefault="005619D4" w:rsidP="005619D4">
      <w:pPr>
        <w:jc w:val="center"/>
        <w:rPr>
          <w:rFonts w:asciiTheme="majorEastAsia" w:eastAsiaTheme="majorEastAsia" w:hAnsiTheme="majorEastAsia"/>
          <w:b/>
          <w:color w:val="444444"/>
          <w:sz w:val="44"/>
          <w:szCs w:val="44"/>
          <w:shd w:val="clear" w:color="auto" w:fill="FFFFFF"/>
        </w:rPr>
      </w:pPr>
      <w:r w:rsidRPr="003D259A">
        <w:rPr>
          <w:rFonts w:asciiTheme="majorEastAsia" w:eastAsiaTheme="majorEastAsia" w:hAnsiTheme="majorEastAsia" w:hint="eastAsia"/>
          <w:b/>
          <w:color w:val="444444"/>
          <w:sz w:val="44"/>
          <w:szCs w:val="44"/>
          <w:shd w:val="clear" w:color="auto" w:fill="FFFFFF"/>
        </w:rPr>
        <w:t>关于律师参与专利权无效宣告程序口头审理</w:t>
      </w:r>
    </w:p>
    <w:p w:rsidR="005619D4" w:rsidRPr="003D259A" w:rsidRDefault="005619D4" w:rsidP="005619D4">
      <w:pPr>
        <w:jc w:val="center"/>
        <w:rPr>
          <w:rFonts w:asciiTheme="majorEastAsia" w:eastAsiaTheme="majorEastAsia" w:hAnsiTheme="majorEastAsia"/>
          <w:b/>
          <w:color w:val="444444"/>
          <w:sz w:val="44"/>
          <w:szCs w:val="44"/>
          <w:shd w:val="clear" w:color="auto" w:fill="FFFFFF"/>
        </w:rPr>
      </w:pPr>
      <w:r w:rsidRPr="003D259A">
        <w:rPr>
          <w:rFonts w:asciiTheme="majorEastAsia" w:eastAsiaTheme="majorEastAsia" w:hAnsiTheme="majorEastAsia" w:hint="eastAsia"/>
          <w:b/>
          <w:color w:val="444444"/>
          <w:sz w:val="44"/>
          <w:szCs w:val="44"/>
          <w:shd w:val="clear" w:color="auto" w:fill="FFFFFF"/>
        </w:rPr>
        <w:t>有关事项的通知</w:t>
      </w:r>
    </w:p>
    <w:p w:rsidR="005619D4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微软雅黑" w:eastAsia="微软雅黑" w:hAnsi="微软雅黑"/>
          <w:color w:val="444444"/>
          <w:sz w:val="27"/>
          <w:szCs w:val="27"/>
        </w:rPr>
      </w:pP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各省、自治区、直辖市律师协会，新疆生产建设兵团律师协会：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根据2024年1月19日国家知识产权</w:t>
      </w:r>
      <w:proofErr w:type="gramStart"/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局官网</w:t>
      </w:r>
      <w:proofErr w:type="gramEnd"/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发布的《关于无效宣告程序口头审理有关事项的通知》，无效宣告请求日在2024年1月20日（含当日）以后的专利权无效宣告案件，请当事人依照《专利审查指南》第四部分第三章3.6节办理委托手续。经中华全国律师协会推荐的律师，可以在专利权无效宣告案件口头审理中担任代理人。现将有关工作事项通知如下：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3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Style w:val="a4"/>
          <w:rFonts w:ascii="仿宋_GB2312" w:eastAsia="仿宋_GB2312" w:hAnsi="微软雅黑" w:hint="eastAsia"/>
          <w:color w:val="444444"/>
          <w:sz w:val="32"/>
          <w:szCs w:val="32"/>
        </w:rPr>
        <w:t>一、推荐条件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被推荐担任专利权无效宣告案件口头审理代理人的律师，应当在最近一次执业年度考核合格，同时具备下列条件之一：</w:t>
      </w: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 </w:t>
      </w: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 xml:space="preserve"> </w:t>
      </w: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 </w:t>
      </w: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 xml:space="preserve"> </w:t>
      </w: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 </w:t>
      </w: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 xml:space="preserve"> </w:t>
      </w: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 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（一）取得专利代理人资格证书或者专利代理师资格证书；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（二）取得国家承认的理工科大专以上学历并获得毕业证书或者学位证书；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（三）曾经代理宣告专利权无效案件；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（四）曾经代理专利行政复议或行政诉讼案件；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lastRenderedPageBreak/>
        <w:t>（五）曾经代理专利民事诉讼或行政裁决案件；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（六）其他经中华全国律师协会认定的特别情形。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3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Style w:val="a4"/>
          <w:rFonts w:ascii="仿宋_GB2312" w:eastAsia="仿宋_GB2312" w:hAnsi="微软雅黑" w:hint="eastAsia"/>
          <w:color w:val="444444"/>
          <w:sz w:val="32"/>
          <w:szCs w:val="32"/>
        </w:rPr>
        <w:t>二、工作流程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楷体" w:hint="eastAsia"/>
          <w:color w:val="444444"/>
          <w:sz w:val="32"/>
          <w:szCs w:val="32"/>
        </w:rPr>
        <w:t>（一）申请方式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申请被推荐担任专利权无效宣告案件口头审理代理人的律师，下载填写《推荐律师担任无效宣告口头审理程序代理人登记表》（见附件），由所在律师事务所出具推荐意见并加盖律师事务所公章后，将《登记表》、国家知识产权局发出的《无效宣告请求口头审理通知书》以及相关证明文件电子扫描件发送至邮箱： aclaywb@126.com，邮件主题为“专利无效口审+律师姓名+口审日期”。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楷体" w:hint="eastAsia"/>
          <w:color w:val="444444"/>
          <w:sz w:val="32"/>
          <w:szCs w:val="32"/>
        </w:rPr>
        <w:t>（二）证明文件要求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1.关于推荐条件中第（一）项、第（二）项，需提供相关证书扫描件或电子版学历（学位）证明。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2.关于推荐条件中第（三）、（四）、（五）项，需提供代理案件判决、裁定等诉讼文书。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楷体" w:hint="eastAsia"/>
          <w:color w:val="444444"/>
          <w:sz w:val="32"/>
          <w:szCs w:val="32"/>
        </w:rPr>
        <w:t>（三）推荐人员确认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全国律协对于申报材料进行审核，审核通过后以邮件形式回复申请人，并将名单报送国家知识产权局备案后，在中国律师网上进行公布。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楷体" w:hint="eastAsia"/>
          <w:color w:val="444444"/>
          <w:sz w:val="32"/>
          <w:szCs w:val="32"/>
        </w:rPr>
        <w:t>（四）推荐人员管理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lastRenderedPageBreak/>
        <w:t>对律师担任无效宣告代理人名单实行动态管理。根据工作需要和申报情况，适时进行增补、调整。同一律师在通过初次推荐后，除出现不再适合担任相关工作等情形，之后在其它专利无效案件中担任口头审理代理人时，无须再重新申请和推荐。</w:t>
      </w:r>
    </w:p>
    <w:p w:rsidR="005619D4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联 系 人：全国律协业务部</w:t>
      </w:r>
    </w:p>
    <w:p w:rsidR="005619D4" w:rsidRPr="003D259A" w:rsidRDefault="005619D4" w:rsidP="005619D4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40"/>
        <w:jc w:val="both"/>
        <w:rPr>
          <w:rFonts w:ascii="仿宋_GB2312" w:eastAsia="仿宋_GB2312" w:hAnsi="微软雅黑"/>
          <w:color w:val="444444"/>
          <w:sz w:val="32"/>
          <w:szCs w:val="32"/>
        </w:rPr>
      </w:pPr>
      <w:r w:rsidRPr="003D259A">
        <w:rPr>
          <w:rFonts w:ascii="仿宋_GB2312" w:eastAsia="仿宋_GB2312" w:hAnsi="微软雅黑" w:hint="eastAsia"/>
          <w:color w:val="444444"/>
          <w:sz w:val="32"/>
          <w:szCs w:val="32"/>
        </w:rPr>
        <w:t>联系电话：（010）83478951</w:t>
      </w:r>
    </w:p>
    <w:p w:rsidR="009E63C4" w:rsidRDefault="009E63C4"/>
    <w:sectPr w:rsidR="009E63C4" w:rsidSect="005619D4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D4"/>
    <w:rsid w:val="005619D4"/>
    <w:rsid w:val="009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1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61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2024-05-10T02:39:00Z</dcterms:created>
  <dcterms:modified xsi:type="dcterms:W3CDTF">2024-05-10T02:40:00Z</dcterms:modified>
</cp:coreProperties>
</file>