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A31183">
      <w:pPr>
        <w:pStyle w:val="9"/>
        <w:bidi w:val="0"/>
        <w:spacing w:before="260" w:beforeAutospacing="0" w:after="260" w:afterAutospacing="0"/>
        <w:jc w:val="left"/>
        <w:rPr>
          <w:rFonts w:cs="仿宋_GB2312"/>
          <w:i w:val="0"/>
          <w:caps w:val="0"/>
          <w:smallCaps w:val="0"/>
          <w:color w:val="auto"/>
          <w:spacing w:val="0"/>
          <w:sz w:val="32"/>
          <w:szCs w:val="32"/>
          <w:shd w:val="clear" w:fill="FFFFFF"/>
          <w:lang w:eastAsia="zh-CN"/>
        </w:rPr>
      </w:pPr>
      <w:r>
        <w:rPr>
          <w:rFonts w:cs="仿宋_GB2312"/>
          <w:i w:val="0"/>
          <w:caps w:val="0"/>
          <w:smallCaps w:val="0"/>
          <w:color w:val="auto"/>
          <w:spacing w:val="0"/>
          <w:sz w:val="32"/>
          <w:szCs w:val="32"/>
          <w:shd w:val="clear" w:fill="FFFFFF"/>
          <w:lang w:eastAsia="zh-CN"/>
        </w:rPr>
        <w:t>附件</w:t>
      </w:r>
    </w:p>
    <w:p w14:paraId="5DE5AC04">
      <w:pPr>
        <w:pStyle w:val="9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hAnsi="方正小标宋简体" w:eastAsia="方正小标宋简体" w:cs="微软雅黑"/>
          <w:b w:val="0"/>
          <w:color w:val="auto"/>
          <w:kern w:val="0"/>
          <w:sz w:val="44"/>
          <w:szCs w:val="44"/>
          <w:shd w:val="clear" w:fill="FFFFFF"/>
          <w:lang w:val="en-US" w:eastAsia="zh-CN" w:bidi="ar-SA"/>
        </w:rPr>
      </w:pPr>
      <w:r>
        <w:rPr>
          <w:rFonts w:ascii="方正小标宋简体" w:hAnsi="方正小标宋简体" w:eastAsia="方正小标宋简体" w:cs="微软雅黑"/>
          <w:b w:val="0"/>
          <w:color w:val="auto"/>
          <w:kern w:val="0"/>
          <w:sz w:val="44"/>
          <w:szCs w:val="44"/>
          <w:shd w:val="clear" w:fill="FFFFFF"/>
          <w:lang w:val="en-US" w:eastAsia="zh-CN" w:bidi="ar-SA"/>
        </w:rPr>
        <w:t>天津市律师综合服务平台</w:t>
      </w:r>
    </w:p>
    <w:p w14:paraId="0CEEDC4B">
      <w:pPr>
        <w:pStyle w:val="9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hAnsi="方正小标宋简体" w:eastAsia="方正小标宋简体" w:cs="微软雅黑"/>
          <w:b w:val="0"/>
          <w:color w:val="auto"/>
          <w:kern w:val="0"/>
          <w:sz w:val="44"/>
          <w:szCs w:val="44"/>
          <w:shd w:val="clear" w:fill="FFFFFF"/>
          <w:lang w:val="en-US" w:eastAsia="zh-CN" w:bidi="ar-SA"/>
        </w:rPr>
      </w:pPr>
      <w:r>
        <w:rPr>
          <w:rFonts w:ascii="方正小标宋简体" w:hAnsi="方正小标宋简体" w:eastAsia="方正小标宋简体" w:cs="微软雅黑"/>
          <w:b w:val="0"/>
          <w:color w:val="auto"/>
          <w:kern w:val="0"/>
          <w:sz w:val="44"/>
          <w:szCs w:val="44"/>
          <w:shd w:val="clear" w:fill="FFFFFF"/>
          <w:lang w:val="en-US" w:eastAsia="zh-CN" w:bidi="ar-SA"/>
        </w:rPr>
        <w:t>会费缴纳操作手册</w:t>
      </w:r>
    </w:p>
    <w:p w14:paraId="76E1CEC9">
      <w:pPr>
        <w:pStyle w:val="8"/>
        <w:rPr>
          <w:color w:val="auto"/>
          <w:lang w:val="en-US" w:eastAsia="zh-CN"/>
        </w:rPr>
      </w:pPr>
    </w:p>
    <w:p w14:paraId="3CDD56B4">
      <w:pPr>
        <w:pStyle w:val="8"/>
        <w:rPr>
          <w:color w:val="auto"/>
          <w:lang w:val="en-US" w:eastAsia="zh-CN"/>
        </w:rPr>
      </w:pPr>
    </w:p>
    <w:p w14:paraId="432677B4">
      <w:pPr>
        <w:pStyle w:val="8"/>
        <w:rPr>
          <w:color w:val="auto"/>
          <w:lang w:val="en-US" w:eastAsia="zh-CN"/>
        </w:rPr>
      </w:pPr>
    </w:p>
    <w:p w14:paraId="124BF7A6">
      <w:pPr>
        <w:pStyle w:val="8"/>
        <w:rPr>
          <w:color w:val="auto"/>
          <w:lang w:val="en-US" w:eastAsia="zh-CN"/>
        </w:rPr>
      </w:pPr>
    </w:p>
    <w:p w14:paraId="489981E0">
      <w:pPr>
        <w:pStyle w:val="8"/>
        <w:rPr>
          <w:color w:val="auto"/>
          <w:lang w:val="en-US" w:eastAsia="zh-CN"/>
        </w:rPr>
      </w:pPr>
    </w:p>
    <w:p w14:paraId="0E3BA3F9">
      <w:pPr>
        <w:pStyle w:val="8"/>
        <w:rPr>
          <w:color w:val="auto"/>
          <w:lang w:val="en-US" w:eastAsia="zh-CN"/>
        </w:rPr>
      </w:pPr>
    </w:p>
    <w:p w14:paraId="0B82775D">
      <w:pPr>
        <w:pStyle w:val="8"/>
        <w:rPr>
          <w:color w:val="auto"/>
          <w:lang w:val="en-US" w:eastAsia="zh-CN"/>
        </w:rPr>
      </w:pPr>
    </w:p>
    <w:p w14:paraId="2A7276DD">
      <w:pPr>
        <w:pStyle w:val="8"/>
        <w:rPr>
          <w:color w:val="auto"/>
          <w:lang w:val="en-US" w:eastAsia="zh-CN"/>
        </w:rPr>
      </w:pPr>
    </w:p>
    <w:p w14:paraId="4DAED3A0">
      <w:pPr>
        <w:pStyle w:val="8"/>
        <w:rPr>
          <w:color w:val="auto"/>
          <w:lang w:val="en-US" w:eastAsia="zh-CN"/>
        </w:rPr>
      </w:pPr>
    </w:p>
    <w:p w14:paraId="273FBA26">
      <w:pPr>
        <w:pStyle w:val="8"/>
        <w:jc w:val="center"/>
        <w:rPr>
          <w:color w:val="auto"/>
          <w:u w:val="single"/>
          <w:lang w:val="en-US" w:eastAsia="zh-CN"/>
        </w:rPr>
      </w:pPr>
    </w:p>
    <w:p w14:paraId="1B4ECF00">
      <w:pPr>
        <w:pStyle w:val="8"/>
        <w:jc w:val="center"/>
        <w:rPr>
          <w:color w:val="auto"/>
          <w:u w:val="single"/>
          <w:lang w:val="en-US" w:eastAsia="zh-CN"/>
        </w:rPr>
      </w:pPr>
    </w:p>
    <w:p w14:paraId="57626D2C">
      <w:pPr>
        <w:pStyle w:val="8"/>
        <w:jc w:val="center"/>
        <w:rPr>
          <w:color w:val="auto"/>
          <w:u w:val="single"/>
          <w:lang w:val="en-US" w:eastAsia="zh-CN"/>
        </w:rPr>
      </w:pPr>
    </w:p>
    <w:p w14:paraId="5C59E9D3">
      <w:pPr>
        <w:pStyle w:val="8"/>
        <w:jc w:val="center"/>
        <w:rPr>
          <w:color w:val="auto"/>
          <w:u w:val="single"/>
          <w:lang w:val="en-US" w:eastAsia="zh-CN"/>
        </w:rPr>
      </w:pPr>
    </w:p>
    <w:p w14:paraId="54C64C84">
      <w:pPr>
        <w:pStyle w:val="8"/>
        <w:rPr>
          <w:color w:val="auto"/>
          <w:lang w:val="en-US" w:eastAsia="zh-CN"/>
        </w:rPr>
      </w:pPr>
    </w:p>
    <w:p w14:paraId="0DCB3675">
      <w:pPr>
        <w:pStyle w:val="8"/>
        <w:rPr>
          <w:color w:val="auto"/>
          <w:lang w:val="en-US" w:eastAsia="zh-CN"/>
        </w:rPr>
      </w:pPr>
    </w:p>
    <w:p w14:paraId="53A2E3CA">
      <w:pPr>
        <w:pStyle w:val="8"/>
        <w:rPr>
          <w:color w:val="auto"/>
          <w:lang w:val="en-US" w:eastAsia="zh-CN"/>
        </w:rPr>
      </w:pPr>
    </w:p>
    <w:p w14:paraId="31D1F6B8">
      <w:pPr>
        <w:pStyle w:val="8"/>
        <w:jc w:val="center"/>
        <w:rPr>
          <w:color w:val="auto"/>
          <w:lang w:val="en-US" w:eastAsia="zh-CN"/>
        </w:rPr>
      </w:pPr>
    </w:p>
    <w:p w14:paraId="2688BBDD">
      <w:pPr>
        <w:pStyle w:val="8"/>
        <w:jc w:val="center"/>
        <w:rPr>
          <w:color w:val="auto"/>
          <w:lang w:val="en-US" w:eastAsia="zh-CN"/>
        </w:rPr>
      </w:pPr>
    </w:p>
    <w:p w14:paraId="33ED896D">
      <w:pPr>
        <w:pStyle w:val="8"/>
        <w:jc w:val="center"/>
        <w:rPr>
          <w:color w:val="auto"/>
          <w:lang w:val="en-US" w:eastAsia="zh-CN"/>
        </w:rPr>
      </w:pPr>
    </w:p>
    <w:p w14:paraId="49CF69F2">
      <w:pPr>
        <w:pStyle w:val="8"/>
        <w:jc w:val="center"/>
        <w:rPr>
          <w:color w:val="auto"/>
          <w:lang w:val="en-US" w:eastAsia="zh-CN"/>
        </w:rPr>
      </w:pPr>
    </w:p>
    <w:p w14:paraId="6E36551C">
      <w:pPr>
        <w:pStyle w:val="8"/>
        <w:jc w:val="center"/>
        <w:rPr>
          <w:color w:val="auto"/>
          <w:lang w:val="en-US" w:eastAsia="zh-CN"/>
        </w:rPr>
      </w:pPr>
    </w:p>
    <w:p w14:paraId="4B1FD6A7">
      <w:pPr>
        <w:pStyle w:val="8"/>
        <w:jc w:val="center"/>
        <w:rPr>
          <w:color w:val="auto"/>
          <w:lang w:val="en-US" w:eastAsia="zh-CN"/>
        </w:rPr>
      </w:pPr>
    </w:p>
    <w:p w14:paraId="5C127014">
      <w:pPr>
        <w:pStyle w:val="8"/>
        <w:jc w:val="center"/>
        <w:rPr>
          <w:color w:val="auto"/>
          <w:lang w:val="en-US" w:eastAsia="zh-CN"/>
        </w:rPr>
      </w:pPr>
    </w:p>
    <w:p w14:paraId="017BFA29">
      <w:pPr>
        <w:pStyle w:val="8"/>
        <w:jc w:val="center"/>
        <w:rPr>
          <w:color w:val="auto"/>
          <w:lang w:val="en-US" w:eastAsia="zh-CN"/>
        </w:rPr>
      </w:pPr>
    </w:p>
    <w:p w14:paraId="4C4609D7">
      <w:pPr>
        <w:pStyle w:val="6"/>
        <w:keepNext w:val="0"/>
        <w:keepLines w:val="0"/>
        <w:widowControl/>
        <w:jc w:val="center"/>
        <w:rPr>
          <w:rFonts w:ascii="方正小标宋简体" w:hAnsi="方正小标宋简体" w:eastAsia="方正小标宋简体" w:cs="微软雅黑"/>
          <w:b w:val="0"/>
          <w:color w:val="auto"/>
          <w:kern w:val="0"/>
          <w:sz w:val="28"/>
          <w:szCs w:val="28"/>
          <w:shd w:val="clear" w:fill="FFFFFF"/>
          <w:lang w:val="en-US" w:eastAsia="zh-CN" w:bidi="ar-SA"/>
        </w:rPr>
      </w:pPr>
      <w:r>
        <w:rPr>
          <w:rFonts w:ascii="方正小标宋简体" w:hAnsi="方正小标宋简体" w:eastAsia="方正小标宋简体" w:cs="微软雅黑"/>
          <w:b w:val="0"/>
          <w:color w:val="auto"/>
          <w:kern w:val="0"/>
          <w:sz w:val="28"/>
          <w:szCs w:val="28"/>
          <w:shd w:val="clear" w:fill="FFFFFF"/>
          <w:lang w:val="en-US" w:eastAsia="zh-CN" w:bidi="ar-SA"/>
        </w:rPr>
        <w:t>编制单位：北京易通昊天科技发展有限公司</w:t>
      </w:r>
    </w:p>
    <w:p w14:paraId="5F3CAB9C">
      <w:pPr>
        <w:pStyle w:val="8"/>
        <w:jc w:val="center"/>
        <w:rPr>
          <w:color w:val="auto"/>
          <w:lang w:val="en-US" w:eastAsia="zh-CN"/>
        </w:rPr>
      </w:pPr>
    </w:p>
    <w:p w14:paraId="712C8754">
      <w:pPr>
        <w:pStyle w:val="8"/>
        <w:rPr>
          <w:color w:val="auto"/>
          <w:lang w:val="en-US" w:eastAsia="zh-CN"/>
        </w:rPr>
      </w:pPr>
    </w:p>
    <w:p w14:paraId="37D6DBD9">
      <w:pPr>
        <w:rPr>
          <w:color w:val="auto"/>
        </w:rPr>
        <w:sectPr>
          <w:footerReference r:id="rId3" w:type="default"/>
          <w:pgSz w:w="11906" w:h="16838"/>
          <w:pgMar w:top="2098" w:right="1531" w:bottom="1984" w:left="1531" w:header="0" w:footer="0" w:gutter="0"/>
          <w:pgNumType w:fmt="decimal"/>
          <w:cols w:space="720" w:num="1"/>
          <w:formProt w:val="0"/>
          <w:docGrid w:type="lines" w:linePitch="312" w:charSpace="91954"/>
        </w:sectPr>
      </w:pPr>
    </w:p>
    <w:sdt>
      <w:sdtPr>
        <w:rPr>
          <w:color w:val="auto"/>
        </w:rPr>
        <w:id w:val="13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14:paraId="74A36A66">
          <w:pPr>
            <w:pStyle w:val="6"/>
            <w:spacing w:beforeLines="0" w:beforeAutospacing="0" w:afterLines="0" w:afterAutospacing="0" w:line="240" w:lineRule="auto"/>
            <w:jc w:val="center"/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lang w:val="en-US" w:eastAsia="zh-CN"/>
            </w:rPr>
          </w:pP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</w:rPr>
            <w:t>目录</w:t>
          </w:r>
        </w:p>
        <w:p w14:paraId="554BDB41">
          <w:pPr>
            <w:pStyle w:val="10"/>
            <w:tabs>
              <w:tab w:val="right" w:leader="dot" w:pos="8306"/>
            </w:tabs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</w:pPr>
          <w:r>
            <w:rPr>
              <w:rFonts w:hint="eastAsia" w:ascii="方正仿宋_GB2312" w:hAnsi="方正仿宋_GB2312" w:eastAsia="方正仿宋_GB2312" w:cs="方正仿宋_GB2312"/>
              <w:color w:val="auto"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color w:val="auto"/>
              <w:sz w:val="28"/>
              <w:szCs w:val="28"/>
              <w:shd w:val="clear" w:color="FFFFFF" w:fill="D9D9D9"/>
              <w:lang w:val="en-US" w:eastAsia="zh-CN"/>
            </w:rPr>
            <w:instrText xml:space="preserve">TOC \o "1-2" \u \h</w:instrText>
          </w:r>
          <w:r>
            <w:rPr>
              <w:rFonts w:hint="eastAsia" w:ascii="方正仿宋_GB2312" w:hAnsi="方正仿宋_GB2312" w:eastAsia="方正仿宋_GB2312" w:cs="方正仿宋_GB2312"/>
              <w:b/>
              <w:color w:val="auto"/>
              <w:sz w:val="28"/>
              <w:szCs w:val="28"/>
              <w:shd w:val="clear" w:color="FFFFFF" w:fill="D9D9D9"/>
              <w:lang w:val="en-US" w:eastAsia="zh-CN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instrText xml:space="preserve"> HYPERLINK \l "_Toc6320" \h 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  <w:lang w:val="en-US" w:eastAsia="zh-CN"/>
            </w:rPr>
            <w:t>一、 系统访问方式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instrText xml:space="preserve">PAGEREF _Toc6320 \h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t>3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end"/>
          </w:r>
        </w:p>
        <w:p w14:paraId="04BC2435">
          <w:pPr>
            <w:pStyle w:val="11"/>
            <w:tabs>
              <w:tab w:val="right" w:leader="dot" w:pos="8306"/>
            </w:tabs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  <w:lang w:val="en-US" w:eastAsia="zh-CN"/>
            </w:rPr>
          </w:pP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instrText xml:space="preserve"> HYPERLINK \l "_Toc18394" \h 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  <w:lang w:val="en-US" w:eastAsia="zh-CN"/>
            </w:rPr>
            <w:t>（1） 律师用户登陆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instrText xml:space="preserve">PAGEREF _Toc18394 \h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t>3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end"/>
          </w:r>
        </w:p>
        <w:p w14:paraId="409DD68A">
          <w:pPr>
            <w:pStyle w:val="11"/>
            <w:tabs>
              <w:tab w:val="right" w:leader="dot" w:pos="8306"/>
            </w:tabs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  <w:lang w:val="en-US" w:eastAsia="zh-CN"/>
            </w:rPr>
          </w:pP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instrText xml:space="preserve"> HYPERLINK \l "_Toc18012" \h 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  <w:lang w:val="en-US" w:eastAsia="zh-CN"/>
            </w:rPr>
            <w:t>（2） 律所（单位）用户登陆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instrText xml:space="preserve">PAGEREF _Toc18012 \h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t>3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end"/>
          </w:r>
        </w:p>
        <w:p w14:paraId="04466E0F">
          <w:pPr>
            <w:pStyle w:val="10"/>
            <w:tabs>
              <w:tab w:val="right" w:leader="dot" w:pos="8306"/>
            </w:tabs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</w:pP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instrText xml:space="preserve"> HYPERLINK \l "_Toc16001" \h 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  <w:lang w:val="en-US" w:eastAsia="zh-CN"/>
            </w:rPr>
            <w:t>二、 律师缴纳方式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instrText xml:space="preserve">PAGEREF _Toc16001 \h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t>5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end"/>
          </w:r>
        </w:p>
        <w:p w14:paraId="199142E1">
          <w:pPr>
            <w:pStyle w:val="10"/>
            <w:tabs>
              <w:tab w:val="right" w:leader="dot" w:pos="8306"/>
            </w:tabs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</w:pP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instrText xml:space="preserve"> HYPERLINK \l "_Toc29702" \h 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  <w:lang w:val="en-US" w:eastAsia="zh-CN"/>
            </w:rPr>
            <w:t>三、 律所缴纳方式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instrText xml:space="preserve">PAGEREF _Toc29702 \h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t>8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end"/>
          </w:r>
        </w:p>
        <w:p w14:paraId="13409652">
          <w:pPr>
            <w:pStyle w:val="10"/>
            <w:tabs>
              <w:tab w:val="right" w:leader="dot" w:pos="8306"/>
            </w:tabs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</w:pP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instrText xml:space="preserve"> HYPERLINK \l "_Toc20173" \h 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  <w:lang w:val="en-US" w:eastAsia="zh-CN"/>
            </w:rPr>
            <w:t>四、 发票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instrText xml:space="preserve">PAGEREF _Toc20173 \h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t>10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end"/>
          </w:r>
        </w:p>
        <w:p w14:paraId="459A840F">
          <w:pPr>
            <w:pStyle w:val="11"/>
            <w:tabs>
              <w:tab w:val="right" w:leader="dot" w:pos="8306"/>
            </w:tabs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  <w:lang w:val="en-US" w:eastAsia="zh-CN"/>
            </w:rPr>
          </w:pP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instrText xml:space="preserve"> HYPERLINK \l "_Toc3303" \h 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  <w:lang w:val="en-US" w:eastAsia="zh-CN"/>
            </w:rPr>
            <w:t>1、 下载方式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instrText xml:space="preserve">PAGEREF _Toc3303 \h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t>10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end"/>
          </w:r>
        </w:p>
        <w:p w14:paraId="516F6C70">
          <w:pPr>
            <w:pStyle w:val="11"/>
            <w:tabs>
              <w:tab w:val="right" w:leader="dot" w:pos="8306"/>
            </w:tabs>
            <w:rPr>
              <w:rFonts w:hint="eastAsia" w:ascii="方正仿宋_GB2312" w:hAnsi="方正仿宋_GB2312" w:eastAsia="方正仿宋_GB2312" w:cs="方正仿宋_GB2312"/>
              <w:color w:val="auto"/>
              <w:sz w:val="28"/>
              <w:szCs w:val="28"/>
              <w:shd w:val="clear" w:color="FFFFFF" w:fill="D9D9D9"/>
              <w:lang w:val="en-US" w:eastAsia="zh-CN"/>
            </w:rPr>
          </w:pP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instrText xml:space="preserve"> HYPERLINK \l "_Toc26104" \h 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  <w:lang w:val="en-US" w:eastAsia="zh-CN"/>
            </w:rPr>
            <w:t>2、 修正方式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begin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instrText xml:space="preserve">PAGEREF _Toc26104 \h</w:instrTex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tab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t>10</w:t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end"/>
          </w:r>
          <w:r>
            <w:rPr>
              <w:rFonts w:hint="eastAsia" w:ascii="方正仿宋_GB2312" w:hAnsi="方正仿宋_GB2312" w:eastAsia="方正仿宋_GB2312" w:cs="方正仿宋_GB2312"/>
              <w:b/>
              <w:bCs/>
              <w:color w:val="auto"/>
              <w:sz w:val="28"/>
              <w:szCs w:val="28"/>
              <w:shd w:val="clear" w:color="FFFFFF" w:fill="D9D9D9"/>
            </w:rPr>
            <w:fldChar w:fldCharType="end"/>
          </w:r>
        </w:p>
        <w:p w14:paraId="50653D95">
          <w:pPr>
            <w:pStyle w:val="8"/>
            <w:rPr>
              <w:color w:val="auto"/>
              <w:lang w:val="en-US" w:eastAsia="zh-CN"/>
            </w:rPr>
          </w:pPr>
          <w:r>
            <w:rPr>
              <w:rFonts w:hint="eastAsia" w:ascii="方正仿宋_GB2312" w:hAnsi="方正仿宋_GB2312" w:eastAsia="方正仿宋_GB2312" w:cs="方正仿宋_GB2312"/>
              <w:color w:val="auto"/>
              <w:sz w:val="28"/>
              <w:szCs w:val="28"/>
              <w:shd w:val="clear" w:color="FFFFFF" w:fill="D9D9D9"/>
              <w:lang w:val="en-US" w:eastAsia="zh-CN"/>
            </w:rPr>
            <w:fldChar w:fldCharType="end"/>
          </w:r>
        </w:p>
        <w:p w14:paraId="598D0F84">
          <w:pPr>
            <w:rPr>
              <w:color w:val="auto"/>
            </w:rPr>
            <w:sectPr>
              <w:footerReference r:id="rId4" w:type="default"/>
              <w:pgSz w:w="11906" w:h="16838"/>
              <w:pgMar w:top="2098" w:right="1531" w:bottom="1984" w:left="1531" w:header="0" w:footer="0" w:gutter="0"/>
              <w:pgNumType w:fmt="decimal"/>
              <w:cols w:space="720" w:num="1"/>
              <w:formProt w:val="0"/>
              <w:docGrid w:type="lines" w:linePitch="312" w:charSpace="91954"/>
            </w:sectPr>
          </w:pPr>
        </w:p>
      </w:sdtContent>
    </w:sdt>
    <w:p w14:paraId="3F92B6A5">
      <w:pPr>
        <w:pStyle w:val="8"/>
        <w:rPr>
          <w:color w:val="auto"/>
          <w:lang w:val="en-US" w:eastAsia="zh-CN"/>
        </w:rPr>
      </w:pPr>
    </w:p>
    <w:p w14:paraId="1EBDF6D1">
      <w:pPr>
        <w:pStyle w:val="8"/>
        <w:numPr>
          <w:ilvl w:val="0"/>
          <w:numId w:val="1"/>
        </w:numPr>
        <w:outlineLvl w:val="0"/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bookmarkStart w:id="0" w:name="_Toc5502"/>
      <w:bookmarkStart w:id="1" w:name="_Toc6320"/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系统访问方式</w:t>
      </w:r>
      <w:bookmarkEnd w:id="0"/>
      <w:bookmarkEnd w:id="1"/>
    </w:p>
    <w:p w14:paraId="006C0E78">
      <w:pPr>
        <w:pStyle w:val="8"/>
        <w:numPr>
          <w:ilvl w:val="0"/>
          <w:numId w:val="2"/>
        </w:numPr>
        <w:spacing w:beforeLines="0" w:beforeAutospacing="0" w:afterLines="0" w:afterAutospacing="0"/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系统统一访问网址为：tianjin.lsfwpt.cn。</w:t>
      </w:r>
    </w:p>
    <w:p w14:paraId="32970F46">
      <w:pPr>
        <w:pStyle w:val="8"/>
        <w:numPr>
          <w:ilvl w:val="0"/>
          <w:numId w:val="2"/>
        </w:numPr>
        <w:spacing w:beforeLines="0" w:beforeAutospacing="0" w:afterLines="0" w:afterAutospacing="0"/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登录</w:t>
      </w:r>
    </w:p>
    <w:p w14:paraId="0AE5CA6D">
      <w:pPr>
        <w:pStyle w:val="8"/>
        <w:numPr>
          <w:ilvl w:val="0"/>
          <w:numId w:val="0"/>
        </w:numPr>
        <w:outlineLvl w:val="1"/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bookmarkStart w:id="2" w:name="_Toc18394"/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（1） 律师用户</w:t>
      </w:r>
      <w:bookmarkEnd w:id="2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登录</w:t>
      </w:r>
    </w:p>
    <w:p w14:paraId="2A0E6214">
      <w:pPr>
        <w:pStyle w:val="8"/>
        <w:numPr>
          <w:ilvl w:val="0"/>
          <w:numId w:val="0"/>
        </w:numPr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　用户名为律师个人身份证号或执业证号；密码与预约会见平台的密码一致。如果没有注册预约会见平台，默认密码为“Tj+身份证号”。</w:t>
      </w:r>
    </w:p>
    <w:p w14:paraId="759204F8">
      <w:pPr>
        <w:pStyle w:val="8"/>
        <w:numPr>
          <w:ilvl w:val="0"/>
          <w:numId w:val="0"/>
        </w:numPr>
        <w:outlineLvl w:val="1"/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bookmarkStart w:id="3" w:name="_Toc18012"/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（2） 律所（单位）用户</w:t>
      </w:r>
      <w:bookmarkEnd w:id="3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登录</w:t>
      </w:r>
    </w:p>
    <w:p w14:paraId="351384BA">
      <w:pPr>
        <w:pStyle w:val="8"/>
        <w:numPr>
          <w:ilvl w:val="0"/>
          <w:numId w:val="0"/>
        </w:numPr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　律所的用户名为律所许可证号（单位的用户名为社会统一信用代码）；密码与备案系统密码一致。如果没有注册备案系统，默认密码为“Tj+社会统一信用代码”。</w:t>
      </w:r>
    </w:p>
    <w:p w14:paraId="6A0F6DD9">
      <w:pPr>
        <w:pStyle w:val="8"/>
        <w:numPr>
          <w:ilvl w:val="0"/>
          <w:numId w:val="0"/>
        </w:numP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（3）登陆后选择进入市律协会员系统</w:t>
      </w:r>
    </w:p>
    <w:p w14:paraId="6A1B0818">
      <w:pPr>
        <w:pStyle w:val="8"/>
        <w:numPr>
          <w:ilvl w:val="0"/>
          <w:numId w:val="2"/>
        </w:numPr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相关注意事项</w:t>
      </w:r>
    </w:p>
    <w:p w14:paraId="6764851E">
      <w:pPr>
        <w:pStyle w:val="8"/>
        <w:numPr>
          <w:ilvl w:val="0"/>
          <w:numId w:val="0"/>
        </w:numPr>
        <w:ind w:firstLine="320" w:firstLineChars="100"/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（1）公司、公职、法援类型律师使用律师个人账户登录平台进行缴费（公职律师所在单位可使用单位账户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登录</w:t>
      </w: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平台进行缴费），其他用户以律所为单位统一缴纳会费，使用律师事务所账户统一缴纳。</w:t>
      </w:r>
    </w:p>
    <w:p w14:paraId="5EA7C6AB">
      <w:pPr>
        <w:pStyle w:val="8"/>
        <w:numPr>
          <w:ilvl w:val="0"/>
          <w:numId w:val="0"/>
        </w:numPr>
        <w:ind w:firstLine="320" w:firstLineChars="100"/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（2）因系统技术特点所限，请使用谷歌浏览器、360浏览器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极速</w:t>
      </w: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模式、搜狗浏览器、火狐浏览器等进行访问，以便达到最佳效果。</w:t>
      </w:r>
    </w:p>
    <w:p w14:paraId="38D0EC29">
      <w:pPr>
        <w:pStyle w:val="8"/>
        <w:numPr>
          <w:ilvl w:val="0"/>
          <w:numId w:val="2"/>
        </w:numPr>
        <w:spacing w:beforeLines="0" w:beforeAutospacing="0" w:afterLines="0" w:afterAutospacing="0"/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缴费方式：会费缴纳仅可使用网上缴费渠道，会员登录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天津市律师综合服务平台</w:t>
      </w: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（以下简称平台）http://tianjin.lsfwpt.com/进行缴费。</w:t>
      </w:r>
    </w:p>
    <w:p w14:paraId="103BE8DD">
      <w:pPr>
        <w:pStyle w:val="8"/>
        <w:numPr>
          <w:ilvl w:val="0"/>
          <w:numId w:val="2"/>
        </w:numPr>
        <w:spacing w:beforeLines="0" w:beforeAutospacing="0" w:afterLines="0" w:afterAutospacing="0"/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缴纳会费时间：每年的会费缴纳时间以律师协会官网（http://www.china-lawfirm.com）公布时间为准。</w:t>
      </w:r>
    </w:p>
    <w:p w14:paraId="77A63B14">
      <w:pPr>
        <w:pStyle w:val="8"/>
        <w:numPr>
          <w:ilvl w:val="0"/>
          <w:numId w:val="2"/>
        </w:numPr>
        <w:spacing w:beforeLines="0" w:beforeAutospacing="0" w:afterLines="0" w:afterAutospacing="0"/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本次会费缴纳支付方式如下：</w:t>
      </w:r>
    </w:p>
    <w:p w14:paraId="1B94BD48">
      <w:pPr>
        <w:pStyle w:val="8"/>
        <w:numPr>
          <w:ilvl w:val="0"/>
          <w:numId w:val="0"/>
        </w:numPr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（1）微信、支付宝支付，支持个人用户支付5万元及以下会费。</w:t>
      </w:r>
    </w:p>
    <w:p w14:paraId="6C3C8274">
      <w:pPr>
        <w:pStyle w:val="8"/>
        <w:numPr>
          <w:ilvl w:val="0"/>
          <w:numId w:val="0"/>
        </w:numPr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（2）公对公网上支付，公司网银跳转付款适用于以下银行：中行、农行、工行、建行、交行、邮储、招行、浦发、民生、光大、华夏、广发、中信、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平安、</w:t>
      </w: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北京银行、上海银行、浙商银行、柳州银行、宁波银行、青岛银行、桂林银行、浙江省农村信用社联合社。</w:t>
      </w:r>
    </w:p>
    <w:p w14:paraId="1F29C6E9">
      <w:pPr>
        <w:pStyle w:val="8"/>
        <w:numPr>
          <w:ilvl w:val="0"/>
          <w:numId w:val="0"/>
        </w:numPr>
        <w:rPr>
          <w:b/>
          <w:bCs/>
          <w:color w:val="auto"/>
        </w:rPr>
      </w:pPr>
      <w:r>
        <w:rPr>
          <w:rFonts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 xml:space="preserve"> 选择公对公网上支付需要提前开通B2B网上支付/B2B电子商务功能后方可使用。</w:t>
      </w:r>
    </w:p>
    <w:p w14:paraId="6661A866">
      <w:pPr>
        <w:pStyle w:val="8"/>
        <w:numPr>
          <w:ilvl w:val="0"/>
          <w:numId w:val="3"/>
        </w:numPr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银行转账，如（1）（2）两种方式均不适用可采用该方式支付，在缴费界面点击查看账号（一所一账户），请主动登录网银填写付款信息，付款名称：天津市律师协会，账号即</w:t>
      </w:r>
      <w:r>
        <w:rPr>
          <w:rFonts w:ascii="仿宋" w:hAnsi="仿宋" w:eastAsia="仿宋" w:cs="仿宋"/>
          <w:color w:val="auto"/>
          <w:sz w:val="32"/>
          <w:szCs w:val="32"/>
          <w:shd w:val="clear" w:fill="auto"/>
          <w:lang w:val="en-US" w:eastAsia="zh-CN"/>
        </w:rPr>
        <w:t>25</w:t>
      </w: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位专属账号，开户行：招商银行天津分行营业部。</w:t>
      </w:r>
    </w:p>
    <w:p w14:paraId="1CCEDF87">
      <w:pPr>
        <w:pStyle w:val="8"/>
        <w:numPr>
          <w:numId w:val="0"/>
        </w:numPr>
        <w:rPr>
          <w:rFonts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7.</w:t>
      </w: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系统问题：关于平台网站页面，找回密码，申请缴费等操作问题，</w:t>
      </w:r>
      <w:r>
        <w:rPr>
          <w:rFonts w:ascii="仿宋_GB2312" w:hAnsi="仿宋_GB2312" w:eastAsia="仿宋_GB2312" w:cs="宋体"/>
          <w:color w:val="auto"/>
          <w:kern w:val="0"/>
          <w:sz w:val="32"/>
          <w:szCs w:val="32"/>
          <w:lang w:val="en-US" w:eastAsia="zh-CN" w:bidi="ar-SA"/>
        </w:rPr>
        <w:t>可以拨打客服电话：400-002-0028。</w:t>
      </w: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关于转账汇款，银行登录等支付问题请联系</w:t>
      </w:r>
      <w:r>
        <w:rPr>
          <w:rFonts w:ascii="仿宋_GB2312" w:hAnsi="仿宋_GB2312" w:eastAsia="仿宋_GB2312" w:cs="宋体"/>
          <w:color w:val="auto"/>
          <w:kern w:val="0"/>
          <w:sz w:val="32"/>
          <w:szCs w:val="32"/>
          <w:lang w:val="en-US" w:eastAsia="zh-CN" w:bidi="ar-SA"/>
        </w:rPr>
        <w:t>：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杨老师 18622706226</w:t>
      </w:r>
      <w:r>
        <w:rPr>
          <w:rFonts w:ascii="仿宋" w:hAnsi="仿宋" w:eastAsia="仿宋" w:cs="仿宋"/>
          <w:color w:val="auto"/>
          <w:sz w:val="32"/>
          <w:szCs w:val="32"/>
          <w:lang w:val="en-US" w:eastAsia="zh-CN"/>
        </w:rPr>
        <w:t>。</w:t>
      </w:r>
    </w:p>
    <w:p w14:paraId="683BD592">
      <w:pPr>
        <w:pStyle w:val="8"/>
        <w:rPr>
          <w:color w:val="auto"/>
          <w:sz w:val="28"/>
          <w:szCs w:val="28"/>
          <w:lang w:val="en-US" w:eastAsia="zh-CN"/>
        </w:rPr>
      </w:pPr>
      <w:bookmarkStart w:id="4" w:name="_Toc10162"/>
      <w:bookmarkStart w:id="5" w:name="_Toc16001"/>
      <w:r>
        <w:rPr>
          <w:rFonts w:hint="eastAsia"/>
          <w:color w:val="auto"/>
          <w:sz w:val="28"/>
          <w:szCs w:val="28"/>
          <w:lang w:val="en-US" w:eastAsia="zh-CN"/>
        </w:rPr>
        <w:t>二、</w:t>
      </w:r>
      <w:r>
        <w:rPr>
          <w:color w:val="auto"/>
          <w:sz w:val="28"/>
          <w:szCs w:val="28"/>
          <w:lang w:val="en-US" w:eastAsia="zh-CN"/>
        </w:rPr>
        <w:t>律师缴纳方式</w:t>
      </w:r>
      <w:bookmarkEnd w:id="4"/>
      <w:bookmarkEnd w:id="5"/>
    </w:p>
    <w:p w14:paraId="44899B0A">
      <w:pPr>
        <w:pStyle w:val="8"/>
        <w:numPr>
          <w:ilvl w:val="0"/>
          <w:numId w:val="4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  <w:sz w:val="28"/>
          <w:szCs w:val="28"/>
          <w:lang w:val="en-US" w:eastAsia="zh-CN"/>
        </w:rPr>
        <w:t>缴费位置</w:t>
      </w:r>
    </w:p>
    <w:p w14:paraId="1A8A9141">
      <w:pPr>
        <w:pStyle w:val="8"/>
        <w:numPr>
          <w:ilvl w:val="0"/>
          <w:numId w:val="0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  <w:sz w:val="28"/>
          <w:szCs w:val="28"/>
          <w:lang w:val="en-US" w:eastAsia="zh-CN"/>
        </w:rPr>
        <w:t>进入系统后，在系统左侧菜单栏的年检注册，年检缴费菜单内</w:t>
      </w:r>
    </w:p>
    <w:p w14:paraId="6389D1AF">
      <w:pPr>
        <w:pStyle w:val="8"/>
        <w:numPr>
          <w:ilvl w:val="0"/>
          <w:numId w:val="0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inline distT="0" distB="0" distL="0" distR="0">
            <wp:extent cx="5266690" cy="2570480"/>
            <wp:effectExtent l="0" t="0" r="0" b="0"/>
            <wp:docPr id="5" name="图片 1" descr="16466353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646635363(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7A689">
      <w:pPr>
        <w:pStyle w:val="8"/>
        <w:numPr>
          <w:ilvl w:val="0"/>
          <w:numId w:val="4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  <w:sz w:val="28"/>
          <w:szCs w:val="28"/>
          <w:lang w:val="en-US" w:eastAsia="zh-CN"/>
        </w:rPr>
        <w:t>找到您当前年度的缴费记录，点击缴费</w:t>
      </w:r>
    </w:p>
    <w:p w14:paraId="13352B1F">
      <w:pPr>
        <w:pStyle w:val="8"/>
        <w:numPr>
          <w:ilvl w:val="0"/>
          <w:numId w:val="0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inline distT="0" distB="0" distL="0" distR="0">
            <wp:extent cx="5266690" cy="2570480"/>
            <wp:effectExtent l="0" t="0" r="0" b="0"/>
            <wp:docPr id="6" name="图片 2" descr="16466357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1646635702(1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B3073">
      <w:pPr>
        <w:pStyle w:val="8"/>
        <w:rPr>
          <w:color w:val="auto"/>
          <w:sz w:val="28"/>
          <w:szCs w:val="28"/>
          <w:lang w:val="en-US" w:eastAsia="zh-CN"/>
        </w:rPr>
      </w:pPr>
      <w:r>
        <w:rPr>
          <w:color w:val="auto"/>
        </w:rPr>
        <w:br w:type="page"/>
      </w:r>
    </w:p>
    <w:p w14:paraId="1C19CB49">
      <w:pPr>
        <w:pStyle w:val="8"/>
        <w:numPr>
          <w:ilvl w:val="0"/>
          <w:numId w:val="0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  <w:sz w:val="28"/>
          <w:szCs w:val="28"/>
          <w:lang w:val="en-US" w:eastAsia="zh-CN"/>
        </w:rPr>
        <w:t>3.在点击开的页面内确认个人缴费金额等信息是否有误，确认无误点击缴费按钮进行缴费</w:t>
      </w:r>
    </w:p>
    <w:p w14:paraId="5163E975">
      <w:pPr>
        <w:pStyle w:val="8"/>
        <w:numPr>
          <w:ilvl w:val="0"/>
          <w:numId w:val="0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inline distT="0" distB="0" distL="0" distR="0">
            <wp:extent cx="5273040" cy="3236595"/>
            <wp:effectExtent l="0" t="0" r="0" b="0"/>
            <wp:docPr id="7" name="图片 3" descr="16466357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1646635746(1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662BE">
      <w:pPr>
        <w:pStyle w:val="8"/>
        <w:numPr>
          <w:ilvl w:val="0"/>
          <w:numId w:val="0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  <w:sz w:val="28"/>
          <w:szCs w:val="28"/>
          <w:lang w:val="en-US" w:eastAsia="zh-CN"/>
        </w:rPr>
        <w:t>4.填写对应的开票信息后点击支付宝或微信的图标进行缴费</w:t>
      </w:r>
    </w:p>
    <w:p w14:paraId="1A483FB1">
      <w:pPr>
        <w:pStyle w:val="8"/>
        <w:numPr>
          <w:ilvl w:val="0"/>
          <w:numId w:val="0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inline distT="0" distB="0" distL="0" distR="0">
            <wp:extent cx="5269865" cy="2894330"/>
            <wp:effectExtent l="0" t="0" r="0" b="0"/>
            <wp:docPr id="8" name="图片 4" descr="16466358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1646635899(1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D1BD">
      <w:pPr>
        <w:pStyle w:val="8"/>
        <w:rPr>
          <w:color w:val="auto"/>
          <w:sz w:val="28"/>
          <w:szCs w:val="28"/>
          <w:lang w:val="en-US" w:eastAsia="zh-CN"/>
        </w:rPr>
      </w:pPr>
      <w:r>
        <w:rPr>
          <w:color w:val="auto"/>
        </w:rPr>
        <w:br w:type="page"/>
      </w:r>
    </w:p>
    <w:p w14:paraId="3E33952B">
      <w:pPr>
        <w:pStyle w:val="8"/>
        <w:numPr>
          <w:ilvl w:val="0"/>
          <w:numId w:val="0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  <w:sz w:val="28"/>
          <w:szCs w:val="28"/>
          <w:lang w:val="en-US" w:eastAsia="zh-CN"/>
        </w:rPr>
        <w:t>5.使用对应的支付软件，扫码支付即可</w:t>
      </w:r>
    </w:p>
    <w:p w14:paraId="09A7C5A0">
      <w:pPr>
        <w:pStyle w:val="8"/>
        <w:numPr>
          <w:ilvl w:val="0"/>
          <w:numId w:val="0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inline distT="0" distB="0" distL="0" distR="0">
            <wp:extent cx="5273675" cy="4475480"/>
            <wp:effectExtent l="0" t="0" r="0" b="0"/>
            <wp:docPr id="9" name="图片 5" descr="16466359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1646635970(1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4AEBF">
      <w:pPr>
        <w:pStyle w:val="8"/>
        <w:numPr>
          <w:ilvl w:val="0"/>
          <w:numId w:val="0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  <w:sz w:val="28"/>
          <w:szCs w:val="28"/>
          <w:lang w:val="en-US" w:eastAsia="zh-CN"/>
        </w:rPr>
        <w:t>6.支付成功后，正常10分钟内系统会自动识别并修正缴费状态。如已支付但系统内未正常变更缴费状态，请联系系统客服400-002-0028</w:t>
      </w:r>
    </w:p>
    <w:p w14:paraId="4259218E">
      <w:pPr>
        <w:pStyle w:val="8"/>
        <w:rPr>
          <w:color w:val="auto"/>
          <w:sz w:val="28"/>
          <w:szCs w:val="28"/>
          <w:lang w:val="en-US" w:eastAsia="zh-CN"/>
        </w:rPr>
      </w:pPr>
      <w:r>
        <w:rPr>
          <w:color w:val="auto"/>
        </w:rPr>
        <w:br w:type="page"/>
      </w:r>
    </w:p>
    <w:p w14:paraId="277AD3BF">
      <w:pPr>
        <w:pStyle w:val="8"/>
        <w:numPr>
          <w:numId w:val="0"/>
        </w:numPr>
        <w:tabs>
          <w:tab w:val="left" w:pos="0"/>
        </w:tabs>
        <w:ind w:leftChars="0"/>
        <w:outlineLvl w:val="0"/>
        <w:rPr>
          <w:color w:val="auto"/>
          <w:sz w:val="28"/>
          <w:szCs w:val="28"/>
          <w:lang w:val="en-US" w:eastAsia="zh-CN"/>
        </w:rPr>
      </w:pPr>
      <w:bookmarkStart w:id="6" w:name="_Toc32699"/>
      <w:bookmarkStart w:id="7" w:name="_Toc29702"/>
      <w:r>
        <w:rPr>
          <w:rFonts w:hint="eastAsia"/>
          <w:color w:val="auto"/>
          <w:sz w:val="28"/>
          <w:szCs w:val="28"/>
          <w:lang w:val="en-US" w:eastAsia="zh-CN"/>
        </w:rPr>
        <w:t>三、</w:t>
      </w:r>
      <w:r>
        <w:rPr>
          <w:color w:val="auto"/>
          <w:sz w:val="28"/>
          <w:szCs w:val="28"/>
          <w:lang w:val="en-US" w:eastAsia="zh-CN"/>
        </w:rPr>
        <w:t>律所缴纳方式</w:t>
      </w:r>
      <w:bookmarkEnd w:id="6"/>
      <w:bookmarkEnd w:id="7"/>
    </w:p>
    <w:p w14:paraId="19B5D0A7">
      <w:pPr>
        <w:pStyle w:val="8"/>
        <w:numPr>
          <w:ilvl w:val="0"/>
          <w:numId w:val="0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  <w:sz w:val="28"/>
          <w:szCs w:val="28"/>
          <w:lang w:val="en-US" w:eastAsia="zh-CN"/>
        </w:rPr>
        <w:t>1.缴费位置</w:t>
      </w:r>
    </w:p>
    <w:p w14:paraId="615AEE99">
      <w:pPr>
        <w:pStyle w:val="8"/>
        <w:numPr>
          <w:ilvl w:val="0"/>
          <w:numId w:val="0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  <w:sz w:val="28"/>
          <w:szCs w:val="28"/>
          <w:lang w:val="en-US" w:eastAsia="zh-CN"/>
        </w:rPr>
        <w:t>进入系统后，在系统左侧菜单栏的年检注册，律所会费通知单菜单内，律师会费查询可以检查所下律师会费情况</w:t>
      </w:r>
    </w:p>
    <w:p w14:paraId="6812B76C">
      <w:pPr>
        <w:pStyle w:val="8"/>
        <w:numPr>
          <w:ilvl w:val="0"/>
          <w:numId w:val="0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inline distT="0" distB="0" distL="0" distR="0">
            <wp:extent cx="5266690" cy="2570480"/>
            <wp:effectExtent l="0" t="0" r="0" b="0"/>
            <wp:docPr id="10" name="图片 6" descr="16466353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1646635363(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B3257">
      <w:pPr>
        <w:pStyle w:val="8"/>
        <w:numPr>
          <w:ilvl w:val="0"/>
          <w:numId w:val="5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  <w:sz w:val="28"/>
          <w:szCs w:val="28"/>
          <w:lang w:val="en-US" w:eastAsia="zh-CN"/>
        </w:rPr>
        <w:t>找到您当前年度的缴费记录，点击查看缴费按钮</w:t>
      </w:r>
    </w:p>
    <w:p w14:paraId="2D4AA577">
      <w:pPr>
        <w:pStyle w:val="8"/>
        <w:numPr>
          <w:ilvl w:val="0"/>
          <w:numId w:val="0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inline distT="0" distB="0" distL="0" distR="0">
            <wp:extent cx="5266690" cy="2570480"/>
            <wp:effectExtent l="0" t="0" r="0" b="0"/>
            <wp:docPr id="11" name="图片 7" descr="16466361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1646636193(1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EEA3F">
      <w:pPr>
        <w:pStyle w:val="8"/>
        <w:rPr>
          <w:color w:val="auto"/>
          <w:sz w:val="28"/>
          <w:szCs w:val="28"/>
          <w:lang w:val="en-US" w:eastAsia="zh-CN"/>
        </w:rPr>
      </w:pPr>
      <w:r>
        <w:rPr>
          <w:color w:val="auto"/>
        </w:rPr>
        <w:br w:type="page"/>
      </w:r>
    </w:p>
    <w:p w14:paraId="1DD51E16">
      <w:pPr>
        <w:pStyle w:val="8"/>
        <w:numPr>
          <w:ilvl w:val="0"/>
          <w:numId w:val="0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  <w:sz w:val="28"/>
          <w:szCs w:val="28"/>
          <w:lang w:val="en-US" w:eastAsia="zh-CN"/>
        </w:rPr>
        <w:t>3.在新打开的页面内检查缴费信息是否有问题，无问题则点击缴费</w:t>
      </w:r>
    </w:p>
    <w:p w14:paraId="36CDAC51">
      <w:pPr>
        <w:pStyle w:val="8"/>
        <w:numPr>
          <w:ilvl w:val="0"/>
          <w:numId w:val="0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133350</wp:posOffset>
            </wp:positionV>
            <wp:extent cx="6072505" cy="3469005"/>
            <wp:effectExtent l="0" t="0" r="4445" b="17145"/>
            <wp:wrapSquare wrapText="bothSides"/>
            <wp:docPr id="12" name="图片 8" descr="16466362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1646636246(1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FC855">
      <w:pPr>
        <w:pStyle w:val="8"/>
        <w:numPr>
          <w:ilvl w:val="0"/>
          <w:numId w:val="0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  <w:sz w:val="28"/>
          <w:szCs w:val="28"/>
          <w:lang w:val="en-US" w:eastAsia="zh-CN"/>
        </w:rPr>
        <w:t>4.在弹出的页面内填写好发票抬头信息，根据您的缴费需求选择不同的缴费方式，点击后即可缴费。</w:t>
      </w:r>
    </w:p>
    <w:p w14:paraId="18C51CC7">
      <w:pPr>
        <w:pStyle w:val="8"/>
        <w:numPr>
          <w:ilvl w:val="0"/>
          <w:numId w:val="0"/>
        </w:num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（1）选择微信、支付宝支付，将弹出缴费二维码，扫码即可完成支付；</w:t>
      </w:r>
    </w:p>
    <w:p w14:paraId="4A943BF6">
      <w:pPr>
        <w:pStyle w:val="8"/>
        <w:numPr>
          <w:ilvl w:val="0"/>
          <w:numId w:val="0"/>
        </w:num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（2）选择银行转账，系统将展示专属缴费账户，按提示向该账户转账即可（转账前请仔细阅读弹屏说明）；</w:t>
      </w:r>
    </w:p>
    <w:p w14:paraId="6588CE51">
      <w:pPr>
        <w:pStyle w:val="8"/>
        <w:numPr>
          <w:ilvl w:val="0"/>
          <w:numId w:val="0"/>
        </w:numPr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（3）选择公对公支付，选定开户银行后，即可进入对应银行的缴费通道完成操作。</w:t>
      </w:r>
    </w:p>
    <w:p w14:paraId="448D3625">
      <w:pPr>
        <w:pStyle w:val="8"/>
        <w:numPr>
          <w:ilvl w:val="0"/>
          <w:numId w:val="0"/>
        </w:numPr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温馨提示：银行转账前请仔细核对转账金额，确认无误后再操作。</w:t>
      </w:r>
    </w:p>
    <w:p w14:paraId="09FCF9F9">
      <w:pPr>
        <w:pStyle w:val="8"/>
        <w:numPr>
          <w:ilvl w:val="0"/>
          <w:numId w:val="0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inline distT="0" distB="0" distL="0" distR="0">
            <wp:extent cx="5271135" cy="3208020"/>
            <wp:effectExtent l="0" t="0" r="5715" b="11430"/>
            <wp:docPr id="13" name="图片 9" descr="16468936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1646893661(1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F0A47">
      <w:pPr>
        <w:pStyle w:val="8"/>
        <w:numPr>
          <w:ilvl w:val="0"/>
          <w:numId w:val="0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inline distT="0" distB="0" distL="0" distR="0">
            <wp:extent cx="5273040" cy="4378960"/>
            <wp:effectExtent l="0" t="0" r="0" b="0"/>
            <wp:docPr id="14" name="图片 14" descr="f1abe79ff0aa007768433311cb7a8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1abe79ff0aa007768433311cb7a8c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2CB23">
      <w:pPr>
        <w:pStyle w:val="8"/>
        <w:numPr>
          <w:numId w:val="0"/>
        </w:numPr>
        <w:tabs>
          <w:tab w:val="left" w:pos="0"/>
        </w:tabs>
        <w:ind w:leftChars="0"/>
        <w:outlineLvl w:val="0"/>
        <w:rPr>
          <w:color w:val="auto"/>
          <w:sz w:val="28"/>
          <w:szCs w:val="28"/>
          <w:lang w:val="en-US" w:eastAsia="zh-CN"/>
        </w:rPr>
      </w:pPr>
      <w:bookmarkStart w:id="8" w:name="_Toc20173"/>
      <w:bookmarkStart w:id="9" w:name="_Toc13471"/>
      <w:r>
        <w:rPr>
          <w:rFonts w:hint="eastAsia"/>
          <w:color w:val="auto"/>
          <w:sz w:val="28"/>
          <w:szCs w:val="28"/>
          <w:lang w:val="en-US" w:eastAsia="zh-CN"/>
        </w:rPr>
        <w:t>四、</w:t>
      </w:r>
      <w:r>
        <w:rPr>
          <w:color w:val="auto"/>
          <w:sz w:val="28"/>
          <w:szCs w:val="28"/>
          <w:lang w:val="en-US" w:eastAsia="zh-CN"/>
        </w:rPr>
        <w:t>发票</w:t>
      </w:r>
      <w:bookmarkEnd w:id="8"/>
      <w:bookmarkEnd w:id="9"/>
    </w:p>
    <w:p w14:paraId="7FA46D6D">
      <w:pPr>
        <w:pStyle w:val="8"/>
        <w:numPr>
          <w:numId w:val="0"/>
        </w:numPr>
        <w:tabs>
          <w:tab w:val="left" w:pos="0"/>
        </w:tabs>
        <w:ind w:leftChars="0"/>
        <w:outlineLvl w:val="1"/>
        <w:rPr>
          <w:color w:val="auto"/>
          <w:sz w:val="28"/>
          <w:szCs w:val="28"/>
          <w:lang w:val="en-US" w:eastAsia="zh-CN"/>
        </w:rPr>
      </w:pPr>
      <w:bookmarkStart w:id="10" w:name="_Toc3303"/>
      <w:r>
        <w:rPr>
          <w:rFonts w:hint="eastAsia"/>
          <w:color w:val="auto"/>
          <w:sz w:val="28"/>
          <w:szCs w:val="28"/>
          <w:lang w:val="en-US" w:eastAsia="zh-CN"/>
        </w:rPr>
        <w:t>1.</w:t>
      </w:r>
      <w:r>
        <w:rPr>
          <w:color w:val="auto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1234440</wp:posOffset>
            </wp:positionV>
            <wp:extent cx="5715000" cy="2539365"/>
            <wp:effectExtent l="0" t="0" r="0" b="13335"/>
            <wp:wrapSquare wrapText="bothSides"/>
            <wp:docPr id="15" name="图片 10" descr="16492112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1649211209(1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sz w:val="28"/>
          <w:szCs w:val="28"/>
          <w:lang w:val="en-US" w:eastAsia="zh-CN"/>
        </w:rPr>
        <w:t>下载方式</w:t>
      </w:r>
      <w:bookmarkEnd w:id="10"/>
      <w:r>
        <w:rPr>
          <w:rFonts w:hint="eastAsia"/>
          <w:color w:val="auto"/>
          <w:sz w:val="28"/>
          <w:szCs w:val="28"/>
          <w:lang w:val="en-US" w:eastAsia="zh-CN"/>
        </w:rPr>
        <w:t>：</w:t>
      </w:r>
      <w:r>
        <w:rPr>
          <w:color w:val="auto"/>
          <w:sz w:val="28"/>
          <w:szCs w:val="28"/>
          <w:lang w:val="en-US" w:eastAsia="zh-CN"/>
        </w:rPr>
        <w:t>登录原缴费账号下载电子版“天津市财政票据”作为单位报销凭证，根据下图菜单位置进行票据的下载和错误票据的换开申请</w:t>
      </w:r>
      <w:r>
        <w:rPr>
          <w:rFonts w:hint="eastAsia"/>
          <w:color w:val="auto"/>
          <w:sz w:val="28"/>
          <w:szCs w:val="28"/>
          <w:lang w:val="en-US" w:eastAsia="zh-CN"/>
        </w:rPr>
        <w:t>。</w:t>
      </w:r>
    </w:p>
    <w:p w14:paraId="4FD38336">
      <w:pPr>
        <w:pStyle w:val="8"/>
        <w:numPr>
          <w:ilvl w:val="0"/>
          <w:numId w:val="0"/>
        </w:numPr>
        <w:rPr>
          <w:color w:val="auto"/>
          <w:sz w:val="28"/>
          <w:szCs w:val="28"/>
          <w:lang w:val="en-US" w:eastAsia="zh-CN"/>
        </w:rPr>
      </w:pPr>
    </w:p>
    <w:p w14:paraId="6DDA851C">
      <w:pPr>
        <w:pStyle w:val="8"/>
        <w:numPr>
          <w:numId w:val="0"/>
        </w:numPr>
        <w:tabs>
          <w:tab w:val="left" w:pos="0"/>
        </w:tabs>
        <w:ind w:leftChars="0"/>
        <w:outlineLvl w:val="1"/>
        <w:rPr>
          <w:color w:val="auto"/>
          <w:sz w:val="28"/>
          <w:szCs w:val="28"/>
          <w:lang w:val="en-US" w:eastAsia="zh-CN"/>
        </w:rPr>
      </w:pPr>
      <w:bookmarkStart w:id="11" w:name="_Toc26104"/>
      <w:r>
        <w:rPr>
          <w:rFonts w:hint="eastAsia"/>
          <w:color w:val="auto"/>
          <w:sz w:val="28"/>
          <w:szCs w:val="28"/>
          <w:lang w:val="en-US" w:eastAsia="zh-CN"/>
        </w:rPr>
        <w:t>2.</w:t>
      </w:r>
      <w:r>
        <w:rPr>
          <w:color w:val="auto"/>
          <w:sz w:val="28"/>
          <w:szCs w:val="28"/>
          <w:lang w:val="en-US" w:eastAsia="zh-CN"/>
        </w:rPr>
        <w:t>修正方式</w:t>
      </w:r>
      <w:bookmarkEnd w:id="11"/>
      <w:r>
        <w:rPr>
          <w:rFonts w:hint="eastAsia"/>
          <w:color w:val="auto"/>
          <w:sz w:val="28"/>
          <w:szCs w:val="28"/>
          <w:lang w:val="en-US" w:eastAsia="zh-CN"/>
        </w:rPr>
        <w:t>：</w:t>
      </w:r>
      <w:r>
        <w:rPr>
          <w:color w:val="auto"/>
          <w:sz w:val="28"/>
          <w:szCs w:val="28"/>
          <w:lang w:val="en-US" w:eastAsia="zh-CN"/>
        </w:rPr>
        <w:t>如票据内容错误等情况，可以点击申请重开按钮，填写重开原因、票据信息后等待协会开具新的票据。错误票据的对应“冲红票据”可在下载发票处下载</w:t>
      </w:r>
      <w:r>
        <w:rPr>
          <w:rFonts w:hint="eastAsia"/>
          <w:color w:val="auto"/>
          <w:sz w:val="28"/>
          <w:szCs w:val="28"/>
          <w:lang w:val="en-US" w:eastAsia="zh-CN"/>
        </w:rPr>
        <w:t>。</w:t>
      </w:r>
    </w:p>
    <w:p w14:paraId="260F83AF">
      <w:pPr>
        <w:pStyle w:val="8"/>
        <w:numPr>
          <w:ilvl w:val="0"/>
          <w:numId w:val="0"/>
        </w:numPr>
        <w:rPr>
          <w:color w:val="auto"/>
          <w:sz w:val="28"/>
          <w:szCs w:val="28"/>
          <w:lang w:val="en-US" w:eastAsia="zh-CN"/>
        </w:rPr>
      </w:pPr>
      <w:r>
        <w:rPr>
          <w:color w:val="auto"/>
        </w:rPr>
        <w:drawing>
          <wp:inline distT="0" distB="0" distL="0" distR="0">
            <wp:extent cx="5266690" cy="2339975"/>
            <wp:effectExtent l="0" t="0" r="0" b="0"/>
            <wp:docPr id="16" name="图片 11" descr="16492112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1649211209(1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</w:p>
    <w:sectPr>
      <w:footerReference r:id="rId5" w:type="default"/>
      <w:pgSz w:w="11906" w:h="16838"/>
      <w:pgMar w:top="2098" w:right="1531" w:bottom="1984" w:left="1531" w:header="0" w:footer="0" w:gutter="0"/>
      <w:pgNumType w:fmt="decimal"/>
      <w:cols w:space="720" w:num="1"/>
      <w:formProt w:val="0"/>
      <w:docGrid w:type="lines" w:linePitch="312" w:charSpace="919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00" w:usb3="00000000" w:csb0="00000000" w:csb1="00000000"/>
    <w:embedRegular r:id="rId1" w:fontKey="{3F14FCB9-E6AB-4098-9B7D-0692A9099AA4}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  <w:embedRegular r:id="rId2" w:fontKey="{57595425-5371-430F-A626-0CD3CA08832F}"/>
  </w:font>
  <w:font w:name="方正小标宋简体">
    <w:panose1 w:val="02000000000000000000"/>
    <w:charset w:val="86"/>
    <w:family w:val="roman"/>
    <w:pitch w:val="default"/>
    <w:sig w:usb0="00000001" w:usb1="08000000" w:usb2="00000000" w:usb3="00000000" w:csb0="00040000" w:csb1="00000000"/>
    <w:embedRegular r:id="rId3" w:fontKey="{4675E9FC-D2C2-4168-AE85-5569071E3A1E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4" w:fontKey="{B667F31E-4246-4C59-AE0F-32FB719DC308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9DB8886F-F49E-4774-921A-ED46821C60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EA0ACC">
    <w:pPr>
      <w:pStyle w:val="7"/>
    </w:pPr>
    <w: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829435" cy="139065"/>
              <wp:effectExtent l="0" t="0" r="0" b="0"/>
              <wp:wrapNone/>
              <wp:docPr id="1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3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07C1E96D">
                          <w:pPr>
                            <w:pStyle w:val="7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" o:spid="_x0000_s1026" o:spt="1" style="position:absolute;left:0pt;margin-top:0.05pt;height:10.95pt;width:144.05pt;mso-position-horizontal:center;mso-position-horizontal-relative:margin;z-index:-251657216;mso-width-relative:page;mso-height-relative:page;" filled="f" stroked="f" coordsize="21600,21600" o:allowincell="f" o:gfxdata="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PcLgSfTAAAABAEAAA8AAAAAAAAAAQAgAAAAIgAAAGRycy9kb3ducmV2LnhtbFBLAQIU&#10;ABQAAAAIAIdO4kBj7K/rvwEAAIADAAAOAAAAAAAAAAEAIAAAACIBAABkcnMvZTJvRG9jLnhtbFBL&#10;BQYAAAAABgAGAFkBAABT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7C1E96D">
                    <w:pPr>
                      <w:pStyle w:val="7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4B668D">
    <w:pPr>
      <w:pStyle w:val="7"/>
    </w:pPr>
    <w: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829435" cy="139065"/>
              <wp:effectExtent l="0" t="0" r="0" b="0"/>
              <wp:wrapNone/>
              <wp:docPr id="3" name="文本框 10_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3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330933DC">
                          <w:pPr>
                            <w:pStyle w:val="7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_0" o:spid="_x0000_s1026" o:spt="1" style="position:absolute;left:0pt;margin-top:0.05pt;height:10.95pt;width:144.05pt;mso-position-horizontal:center;mso-position-horizontal-relative:margin;z-index:-251657216;mso-width-relative:page;mso-height-relative:page;" filled="f" stroked="f" coordsize="21600,21600" o:allowincell="f" o:gfxdata="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9wuBJ9MAAAAEAQAADwAAAAAAAAABACAAAAAiAAAAZHJzL2Rvd25yZXYueG1sUEsB&#10;AhQAFAAAAAgAh07iQGIA3cPBAQAAggMAAA4AAAAAAAAAAQAgAAAAIgEAAGRycy9lMm9Eb2MueG1s&#10;UEsFBgAAAAAGAAYAWQEAAFU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30933DC">
                    <w:pPr>
                      <w:pStyle w:val="7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17E66B">
    <w:pPr>
      <w:pStyle w:val="7"/>
    </w:pPr>
    <w: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829435" cy="139065"/>
              <wp:effectExtent l="0" t="0" r="0" b="0"/>
              <wp:wrapNone/>
              <wp:docPr id="17" name="文本框 10_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3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1ABECBEE">
                          <w:pPr>
                            <w:pStyle w:val="7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_1" o:spid="_x0000_s1026" o:spt="1" style="position:absolute;left:0pt;margin-top:0.05pt;height:10.95pt;width:144.05pt;mso-position-horizontal:center;mso-position-horizontal-relative:margin;z-index:-251657216;mso-width-relative:page;mso-height-relative:page;" filled="f" stroked="f" coordsize="21600,21600" o:allowincell="f" o:gfxdata="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9wuBJ9MAAAAEAQAADwAAAAAAAAABACAAAAAiAAAAZHJzL2Rvd25yZXYueG1s&#10;UEsBAhQAFAAAAAgAh07iQHtB0iDEAQAAgwMAAA4AAAAAAAAAAQAgAAAAIgEAAGRycy9lMm9Eb2Mu&#10;eG1sUEsFBgAAAAAGAAYAWQEAAFg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ABECBEE">
                    <w:pPr>
                      <w:pStyle w:val="7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48C179"/>
    <w:multiLevelType w:val="multilevel"/>
    <w:tmpl w:val="0248C179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0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 w:tentative="0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 w:tentative="0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 w:tentative="0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 w:tentative="0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 w:tentative="0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 w:tentative="0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">
    <w:nsid w:val="03D62ECE"/>
    <w:multiLevelType w:val="multilevel"/>
    <w:tmpl w:val="03D62ECE"/>
    <w:lvl w:ilvl="0" w:tentative="0">
      <w:start w:val="1"/>
      <w:numFmt w:val="taiwaneseCountingThousand"/>
      <w:suff w:val="nothing"/>
      <w:lvlText w:val="%1、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0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 w:tentative="0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 w:tentative="0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 w:tentative="0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 w:tentative="0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 w:tentative="0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 w:tentative="0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2">
    <w:nsid w:val="25B654F3"/>
    <w:multiLevelType w:val="multilevel"/>
    <w:tmpl w:val="25B654F3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0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 w:tentative="0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 w:tentative="0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 w:tentative="0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 w:tentative="0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 w:tentative="0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 w:tentative="0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3">
    <w:nsid w:val="5D202977"/>
    <w:multiLevelType w:val="singleLevel"/>
    <w:tmpl w:val="5D202977"/>
    <w:lvl w:ilvl="0" w:tentative="0">
      <w:start w:val="3"/>
      <w:numFmt w:val="decimal"/>
      <w:suff w:val="nothing"/>
      <w:lvlText w:val="（%1）"/>
      <w:lvlJc w:val="left"/>
    </w:lvl>
  </w:abstractNum>
  <w:abstractNum w:abstractNumId="4">
    <w:nsid w:val="72183CF9"/>
    <w:multiLevelType w:val="multilevel"/>
    <w:tmpl w:val="72183CF9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0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 w:tentative="0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 w:tentative="0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 w:tentative="0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 w:tentative="0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 w:tentative="0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 w:tentative="0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420"/>
  <w:autoHyphenation/>
  <w:compat>
    <w:balanceSingleByteDoubleByteWidth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VkMDEyNzNlNDc1NTQ2M2Y1MzA2MTJiMTFmNTg2ZTkifQ=="/>
  </w:docVars>
  <w:rsids>
    <w:rsidRoot w:val="00000000"/>
    <w:rsid w:val="05FA73C5"/>
    <w:rsid w:val="06514EE9"/>
    <w:rsid w:val="0815790E"/>
    <w:rsid w:val="091A625A"/>
    <w:rsid w:val="0BC4572B"/>
    <w:rsid w:val="12962136"/>
    <w:rsid w:val="14063507"/>
    <w:rsid w:val="168B5DC8"/>
    <w:rsid w:val="19543A14"/>
    <w:rsid w:val="1AFD5442"/>
    <w:rsid w:val="1B5C6270"/>
    <w:rsid w:val="1CF759EA"/>
    <w:rsid w:val="21792E05"/>
    <w:rsid w:val="22C0330E"/>
    <w:rsid w:val="25454AB1"/>
    <w:rsid w:val="26E16B53"/>
    <w:rsid w:val="284C045D"/>
    <w:rsid w:val="2960467D"/>
    <w:rsid w:val="2E74319A"/>
    <w:rsid w:val="32ED05B6"/>
    <w:rsid w:val="33A01169"/>
    <w:rsid w:val="353D58FA"/>
    <w:rsid w:val="3780797C"/>
    <w:rsid w:val="3AB02FA5"/>
    <w:rsid w:val="3DAA1351"/>
    <w:rsid w:val="3FC405B6"/>
    <w:rsid w:val="41126AEB"/>
    <w:rsid w:val="44A05156"/>
    <w:rsid w:val="44C14F4F"/>
    <w:rsid w:val="45E22853"/>
    <w:rsid w:val="46C6427C"/>
    <w:rsid w:val="473C0168"/>
    <w:rsid w:val="49065B9F"/>
    <w:rsid w:val="4BBD36B5"/>
    <w:rsid w:val="502846A3"/>
    <w:rsid w:val="536F35A6"/>
    <w:rsid w:val="553B2C00"/>
    <w:rsid w:val="55E11824"/>
    <w:rsid w:val="592941F7"/>
    <w:rsid w:val="5A305635"/>
    <w:rsid w:val="5A661E4D"/>
    <w:rsid w:val="5A854D88"/>
    <w:rsid w:val="609D4A8D"/>
    <w:rsid w:val="66D04A67"/>
    <w:rsid w:val="67B47053"/>
    <w:rsid w:val="681C2B17"/>
    <w:rsid w:val="68CB020A"/>
    <w:rsid w:val="6F372C75"/>
    <w:rsid w:val="71952C23"/>
    <w:rsid w:val="73090F35"/>
    <w:rsid w:val="7631611E"/>
    <w:rsid w:val="7D3F340F"/>
    <w:rsid w:val="7D427194"/>
    <w:rsid w:val="7D751E8B"/>
    <w:rsid w:val="7FE074F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hi-IN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默认段落字体1"/>
    <w:autoRedefine/>
    <w:qFormat/>
    <w:uiPriority w:val="0"/>
  </w:style>
  <w:style w:type="character" w:customStyle="1" w:styleId="5">
    <w:name w:val="索引链接"/>
    <w:basedOn w:val="4"/>
    <w:autoRedefine/>
    <w:qFormat/>
    <w:uiPriority w:val="0"/>
  </w:style>
  <w:style w:type="paragraph" w:customStyle="1" w:styleId="6">
    <w:name w:val="正文11"/>
    <w:autoRedefine/>
    <w:qFormat/>
    <w:uiPriority w:val="0"/>
    <w:pPr>
      <w:widowControl w:val="0"/>
      <w:suppressAutoHyphens w:val="0"/>
      <w:bidi w:val="0"/>
      <w:spacing w:beforeLines="0" w:beforeAutospacing="0" w:afterLines="0" w:afterAutospacing="0"/>
      <w:jc w:val="both"/>
    </w:pPr>
    <w:rPr>
      <w:rFonts w:asciiTheme="minorHAnsi" w:hAnsiTheme="minorHAnsi" w:eastAsiaTheme="minorEastAsia" w:cstheme="minorBidi"/>
      <w:color w:val="auto"/>
      <w:kern w:val="0"/>
      <w:sz w:val="20"/>
      <w:szCs w:val="20"/>
      <w:lang w:val="en-US" w:eastAsia="zh-CN" w:bidi="hi-IN"/>
    </w:rPr>
  </w:style>
  <w:style w:type="paragraph" w:customStyle="1" w:styleId="7">
    <w:name w:val="页脚1"/>
    <w:basedOn w:val="6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8">
    <w:name w:val="正文1"/>
    <w:autoRedefine/>
    <w:qFormat/>
    <w:uiPriority w:val="0"/>
    <w:pPr>
      <w:widowControl w:val="0"/>
      <w:suppressAutoHyphens w:val="0"/>
      <w:bidi w:val="0"/>
      <w:spacing w:beforeLines="0" w:beforeAutospacing="0" w:afterLines="0" w:afterAutospacing="0"/>
      <w:jc w:val="both"/>
    </w:pPr>
    <w:rPr>
      <w:rFonts w:asciiTheme="minorHAnsi" w:hAnsiTheme="minorHAnsi" w:eastAsiaTheme="minorEastAsia" w:cstheme="minorBidi"/>
      <w:color w:val="auto"/>
      <w:kern w:val="2"/>
      <w:sz w:val="21"/>
      <w:szCs w:val="24"/>
      <w:lang w:val="en-US" w:eastAsia="zh-CN" w:bidi="ar-SA"/>
    </w:rPr>
  </w:style>
  <w:style w:type="paragraph" w:customStyle="1" w:styleId="9">
    <w:name w:val="标题 31"/>
    <w:basedOn w:val="8"/>
    <w:next w:val="8"/>
    <w:autoRedefine/>
    <w:unhideWhenUsed/>
    <w:qFormat/>
    <w:uiPriority w:val="0"/>
    <w:pPr>
      <w:keepNext/>
      <w:keepLines/>
      <w:spacing w:before="260" w:beforeAutospacing="0" w:after="260" w:afterAutospacing="0" w:line="410" w:lineRule="auto"/>
      <w:outlineLvl w:val="2"/>
    </w:pPr>
    <w:rPr>
      <w:b/>
      <w:sz w:val="32"/>
    </w:rPr>
  </w:style>
  <w:style w:type="paragraph" w:customStyle="1" w:styleId="10">
    <w:name w:val="WPSOffice手动目录 1"/>
    <w:autoRedefine/>
    <w:qFormat/>
    <w:uiPriority w:val="0"/>
    <w:pPr>
      <w:widowControl/>
      <w:suppressAutoHyphens w:val="0"/>
      <w:bidi w:val="0"/>
      <w:spacing w:beforeLines="0" w:beforeAutospacing="0" w:afterLines="0" w:afterAutospacing="0"/>
      <w:jc w:val="left"/>
    </w:pPr>
    <w:rPr>
      <w:rFonts w:ascii="Times New Roman" w:hAnsi="Times New Roman" w:eastAsia="宋体" w:cs="Times New Roman"/>
      <w:color w:val="auto"/>
      <w:kern w:val="0"/>
      <w:sz w:val="20"/>
      <w:szCs w:val="20"/>
      <w:lang w:val="en-US" w:eastAsia="zh-CN" w:bidi="hi-IN"/>
    </w:rPr>
  </w:style>
  <w:style w:type="paragraph" w:customStyle="1" w:styleId="11">
    <w:name w:val="WPSOffice手动目录 2"/>
    <w:autoRedefine/>
    <w:qFormat/>
    <w:uiPriority w:val="0"/>
    <w:pPr>
      <w:widowControl/>
      <w:suppressAutoHyphens w:val="0"/>
      <w:bidi w:val="0"/>
      <w:spacing w:beforeLines="0" w:beforeAutospacing="0" w:afterLines="0" w:afterAutospacing="0"/>
      <w:jc w:val="left"/>
    </w:pPr>
    <w:rPr>
      <w:rFonts w:ascii="Times New Roman" w:hAnsi="Times New Roman" w:eastAsia="宋体" w:cs="Times New Roman"/>
      <w:color w:val="auto"/>
      <w:kern w:val="0"/>
      <w:sz w:val="20"/>
      <w:szCs w:val="20"/>
      <w:lang w:val="en-US" w:eastAsia="zh-CN" w:bidi="hi-I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1520</Words>
  <Characters>1644</Characters>
  <Paragraphs>62</Paragraphs>
  <TotalTime>0</TotalTime>
  <ScaleCrop>false</ScaleCrop>
  <LinksUpToDate>false</LinksUpToDate>
  <CharactersWithSpaces>1682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2022-03-07T06:27:00Z</dcterms:created>
  <dc:creator>胡</dc:creator>
  <cp:lastModifiedBy>市律协会员部</cp:lastModifiedBy>
  <dcterms:modified xsi:type="dcterms:W3CDTF">2026-04-02T03:06:48Z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4D875764EB954F978F721EA7CD78F913</vt:lpwstr>
  </property>
  <property fmtid="{D5CDD505-2E9C-101B-9397-08002B2CF9AE}" pid="3" name="KSOProductBuildVer">
    <vt:lpwstr>2052-12.1.0.25225</vt:lpwstr>
  </property>
  <property fmtid="{D5CDD505-2E9C-101B-9397-08002B2CF9AE}" pid="4" name="KSOTemplateDocerSaveRecord">
    <vt:lpwstr>eyJoZGlkIjoiZWVkMDEyNzNlNDc1NTQ2M2Y1MzA2MTJiMTFmNTg2ZTkiLCJ1c2VySWQiOiIxNzE4MjMzNjk5In0=</vt:lpwstr>
  </property>
</Properties>
</file>