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7D66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b/>
          <w:bCs/>
          <w:sz w:val="40"/>
          <w:szCs w:val="4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0"/>
          <w:szCs w:val="40"/>
          <w:highlight w:val="none"/>
          <w:lang w:eastAsia="zh-CN"/>
        </w:rPr>
        <w:t>天津康汇医院体检科检前须知</w:t>
      </w:r>
    </w:p>
    <w:p w14:paraId="3FF5AA8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eastAsia" w:ascii="仿宋" w:hAnsi="仿宋" w:eastAsia="仿宋" w:cs="仿宋"/>
          <w:sz w:val="30"/>
          <w:szCs w:val="30"/>
          <w:highlight w:val="yellow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val="en-US" w:eastAsia="zh-CN"/>
        </w:rPr>
        <w:t>体检登记时间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：</w:t>
      </w:r>
      <w:r>
        <w:rPr>
          <w:rFonts w:hint="eastAsia" w:ascii="仿宋" w:hAnsi="仿宋" w:eastAsia="仿宋" w:cs="仿宋"/>
          <w:sz w:val="30"/>
          <w:szCs w:val="30"/>
          <w:highlight w:val="yellow"/>
          <w:lang w:val="en-US" w:eastAsia="zh-CN"/>
        </w:rPr>
        <w:t>（请提前至少1个工作日预约谢谢）</w:t>
      </w:r>
    </w:p>
    <w:p w14:paraId="36A124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100" w:firstLineChars="7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7:30-10:30,建议您10:30之前到达体检中心，</w:t>
      </w:r>
    </w:p>
    <w:p w14:paraId="4462818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地址：天津康汇医院体检中心楼（天津康汇医院</w:t>
      </w: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val="en-US" w:eastAsia="zh-CN"/>
        </w:rPr>
        <w:t>2号门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)</w:t>
      </w:r>
      <w:bookmarkStart w:id="0" w:name="_GoBack"/>
      <w:bookmarkEnd w:id="0"/>
    </w:p>
    <w:p w14:paraId="0F2710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（</w:t>
      </w:r>
      <w:r>
        <w:rPr>
          <w:rFonts w:hint="eastAsia" w:ascii="仿宋_GB2312" w:hAnsi="宋体" w:eastAsia="仿宋_GB2312"/>
          <w:bCs/>
          <w:color w:val="auto"/>
          <w:sz w:val="28"/>
          <w:szCs w:val="28"/>
          <w:u w:val="single"/>
        </w:rPr>
        <w:t>天津市</w:t>
      </w:r>
      <w:r>
        <w:rPr>
          <w:rFonts w:hint="eastAsia" w:ascii="仿宋_GB2312" w:hAnsi="宋体" w:eastAsia="仿宋_GB2312"/>
          <w:bCs/>
          <w:color w:val="auto"/>
          <w:sz w:val="28"/>
          <w:szCs w:val="28"/>
          <w:u w:val="single"/>
          <w:lang w:val="en-US" w:eastAsia="zh-CN"/>
        </w:rPr>
        <w:t>西青</w:t>
      </w:r>
      <w:r>
        <w:rPr>
          <w:rFonts w:hint="eastAsia" w:ascii="仿宋_GB2312" w:hAnsi="宋体" w:eastAsia="仿宋_GB2312"/>
          <w:bCs/>
          <w:color w:val="auto"/>
          <w:sz w:val="28"/>
          <w:szCs w:val="28"/>
          <w:u w:val="single"/>
        </w:rPr>
        <w:t>区</w:t>
      </w:r>
      <w:r>
        <w:rPr>
          <w:rFonts w:hint="eastAsia" w:ascii="仿宋" w:hAnsi="仿宋" w:eastAsia="仿宋" w:cs="仿宋"/>
          <w:color w:val="auto"/>
          <w:sz w:val="28"/>
          <w:szCs w:val="24"/>
          <w:highlight w:val="none"/>
          <w:u w:val="single"/>
          <w:lang w:val="en-US" w:eastAsia="zh-CN"/>
        </w:rPr>
        <w:t>大寺镇芦北路以南赛达北四道6号）</w:t>
      </w:r>
    </w:p>
    <w:p w14:paraId="5D42BB8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停车位置：从天津康汇医院</w:t>
      </w: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val="en-US" w:eastAsia="zh-CN"/>
        </w:rPr>
        <w:t>2号门(东门)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进入地下一层，体检中心电梯厅位置在H区（如图所示）</w:t>
      </w:r>
    </w:p>
    <w:p w14:paraId="495555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drawing>
          <wp:inline distT="0" distB="0" distL="114300" distR="114300">
            <wp:extent cx="6123940" cy="5203825"/>
            <wp:effectExtent l="0" t="0" r="10160" b="15875"/>
            <wp:docPr id="27" name="图片 27" descr="e705215045b517e013811f815a3ff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e705215045b517e013811f815a3ff0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3940" cy="520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8AC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eastAsia="zh-CN"/>
        </w:rPr>
        <w:drawing>
          <wp:inline distT="0" distB="0" distL="114300" distR="114300">
            <wp:extent cx="2745105" cy="2444750"/>
            <wp:effectExtent l="0" t="0" r="17145" b="12700"/>
            <wp:docPr id="26" name="图片 26" descr="e1a3e74048e8d6f3d2dc56f1ab9c9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e1a3e74048e8d6f3d2dc56f1ab9c9ee"/>
                    <pic:cNvPicPr>
                      <a:picLocks noChangeAspect="1"/>
                    </pic:cNvPicPr>
                  </pic:nvPicPr>
                  <pic:blipFill>
                    <a:blip r:embed="rId5"/>
                    <a:srcRect l="5464" t="375"/>
                    <a:stretch>
                      <a:fillRect/>
                    </a:stretch>
                  </pic:blipFill>
                  <pic:spPr>
                    <a:xfrm>
                      <a:off x="0" y="0"/>
                      <a:ext cx="2745105" cy="244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宋体" w:hAnsi="宋体" w:cs="宋体"/>
          <w:color w:val="000000"/>
          <w:sz w:val="24"/>
          <w:lang w:val="en-US" w:eastAsia="zh-CN"/>
        </w:rPr>
        <w:drawing>
          <wp:inline distT="0" distB="0" distL="114300" distR="114300">
            <wp:extent cx="2690495" cy="2452370"/>
            <wp:effectExtent l="0" t="0" r="14605" b="5080"/>
            <wp:docPr id="43" name="图片 43" descr="0bb47ba5146b1f09ea8e74661574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0bb47ba5146b1f09ea8e746615742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90495" cy="245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宋体" w:hAnsi="宋体" w:cs="宋体"/>
          <w:color w:val="000000"/>
          <w:sz w:val="24"/>
          <w:lang w:val="en-US" w:eastAsia="zh-CN"/>
        </w:rPr>
        <w:drawing>
          <wp:inline distT="0" distB="0" distL="114300" distR="114300">
            <wp:extent cx="2764155" cy="2557780"/>
            <wp:effectExtent l="0" t="0" r="17145" b="13970"/>
            <wp:docPr id="7" name="图片 7" descr="0bb47ba5146b1f09ea8e74661574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0bb47ba5146b1f09ea8e746615742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64155" cy="255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宋体" w:hAnsi="宋体" w:cs="宋体"/>
          <w:color w:val="000000"/>
          <w:sz w:val="24"/>
          <w:lang w:val="en-US" w:eastAsia="zh-CN"/>
        </w:rPr>
        <w:drawing>
          <wp:inline distT="0" distB="0" distL="114300" distR="114300">
            <wp:extent cx="2700020" cy="2545080"/>
            <wp:effectExtent l="0" t="0" r="5080" b="7620"/>
            <wp:docPr id="45" name="图片 45" descr="e20045f71ed036be7666f4f78ced7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e20045f71ed036be7666f4f78ced7a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00020" cy="254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D2B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default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highlight w:val="yellow"/>
          <w:lang w:val="en-US" w:eastAsia="zh-CN"/>
        </w:rPr>
        <w:t>自驾免费停车！请在体检结束交表时，根据前台工作人员指示，扫免费停车码，提交车牌号后15分钟内驶离本院，谢谢</w:t>
      </w:r>
    </w:p>
    <w:p w14:paraId="10D7397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预约方式:</w:t>
      </w:r>
    </w:p>
    <w:p w14:paraId="315F62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①线上预约：关注“天津康汇医院体检中心”公众号，点击“体检”，点击“体检预约”选择“2026律师协会专用套餐”，即可预约。</w:t>
      </w:r>
    </w:p>
    <w:p w14:paraId="2B1D82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default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 xml:space="preserve">               </w:t>
      </w:r>
      <w:r>
        <w:drawing>
          <wp:inline distT="0" distB="0" distL="114300" distR="114300">
            <wp:extent cx="2432685" cy="2099310"/>
            <wp:effectExtent l="0" t="0" r="5715" b="15240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32685" cy="209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8D1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②电话预约（咨询电话）：022-5868 0666.</w:t>
      </w:r>
    </w:p>
    <w:p w14:paraId="2456A2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预约时间：工作日早8：00-12：00，13:30-17:00；</w:t>
      </w:r>
    </w:p>
    <w:p w14:paraId="1D4AC6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 xml:space="preserve">          周六（法定节假日除外）：08:00-12:00</w:t>
      </w:r>
    </w:p>
    <w:p w14:paraId="103752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体检科相关业务请致电：17720188076，时间同上（手机号同微信）</w:t>
      </w:r>
    </w:p>
    <w:p w14:paraId="31B132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drawing>
          <wp:inline distT="0" distB="0" distL="114300" distR="114300">
            <wp:extent cx="2219960" cy="3032760"/>
            <wp:effectExtent l="0" t="0" r="8890" b="15240"/>
            <wp:docPr id="2" name="图片 2" descr="e122d77420445f504d1489862b5e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122d77420445f504d1489862b5e96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19960" cy="303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3410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报告出具：7个工作日。</w:t>
      </w:r>
    </w:p>
    <w:p w14:paraId="00B4860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报告领取方式：</w:t>
      </w:r>
    </w:p>
    <w:p w14:paraId="77C2D3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①电子报告：微信关注“天津康汇医院体检中心公众号，点击“体检”，点击“体检预约”点击”体检报告”即可查询。</w:t>
      </w:r>
    </w:p>
    <w:p w14:paraId="7DCA68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/>
          <w:lang w:val="en-US" w:eastAsia="zh-CN"/>
        </w:rPr>
        <w:t xml:space="preserve">                  </w:t>
      </w:r>
      <w:r>
        <w:drawing>
          <wp:inline distT="0" distB="0" distL="114300" distR="114300">
            <wp:extent cx="2874645" cy="2874645"/>
            <wp:effectExtent l="0" t="0" r="1905" b="190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74645" cy="287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9CF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2455545" cy="3456305"/>
            <wp:effectExtent l="0" t="0" r="1905" b="1079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55545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</w:t>
      </w:r>
      <w:r>
        <w:drawing>
          <wp:inline distT="0" distB="0" distL="114300" distR="114300">
            <wp:extent cx="2456180" cy="3388995"/>
            <wp:effectExtent l="0" t="0" r="1270" b="1905"/>
            <wp:docPr id="1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56180" cy="338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</w:t>
      </w:r>
    </w:p>
    <w:p w14:paraId="22F92B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</w:t>
      </w:r>
    </w:p>
    <w:p w14:paraId="0088FF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default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②纸质报告：若需纸质报告，客户交表时办理快递邮寄。</w:t>
      </w:r>
    </w:p>
    <w:p w14:paraId="696057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default"/>
          <w:lang w:val="en-US" w:eastAsia="zh-CN"/>
        </w:rPr>
      </w:pPr>
    </w:p>
    <w:p w14:paraId="0393CB1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体检须知：</w:t>
      </w:r>
    </w:p>
    <w:p w14:paraId="2A38C33D">
      <w:pPr>
        <w:keepNext w:val="0"/>
        <w:keepLines w:val="0"/>
        <w:widowControl/>
        <w:suppressLineNumbers w:val="0"/>
        <w:shd w:val="clear" w:fill="FFFFFF"/>
        <w:wordWrap/>
        <w:bidi w:val="0"/>
        <w:spacing w:before="0" w:beforeAutospacing="0" w:after="0" w:afterAutospacing="0" w:line="560" w:lineRule="atLeast"/>
        <w:ind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0"/>
          <w:szCs w:val="30"/>
          <w:highlight w:val="none"/>
          <w:shd w:val="clear" w:fill="FFFF00"/>
          <w:lang w:val="en-US" w:eastAsia="zh-CN" w:bidi="ar"/>
        </w:rPr>
        <w:t>&lt;1&gt;.执业律师体检：体检时律师需持身份证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kern w:val="0"/>
          <w:sz w:val="30"/>
          <w:szCs w:val="30"/>
          <w:highlight w:val="none"/>
          <w:shd w:val="clear" w:fill="FFFF00"/>
          <w:lang w:val="en-US" w:eastAsia="zh-CN" w:bidi="ar"/>
        </w:rPr>
        <w:t>原件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0"/>
          <w:szCs w:val="30"/>
          <w:highlight w:val="none"/>
          <w:shd w:val="clear" w:fill="FFFF00"/>
          <w:lang w:val="en-US" w:eastAsia="zh-CN" w:bidi="ar"/>
        </w:rPr>
        <w:t>及复印件（A4纸大小，包括身份证正反面）、律师执业证（工作证）原件及律师执业证（工作证）复印件（A4纸大小，必须包括律师执业证照片页与</w:t>
      </w:r>
      <w:r>
        <w:rPr>
          <w:rFonts w:hint="eastAsia" w:ascii="仿宋" w:hAnsi="仿宋" w:eastAsia="仿宋" w:cs="仿宋"/>
          <w:i w:val="0"/>
          <w:iCs w:val="0"/>
          <w:caps w:val="0"/>
          <w:color w:val="FF0000"/>
          <w:spacing w:val="0"/>
          <w:kern w:val="0"/>
          <w:sz w:val="30"/>
          <w:szCs w:val="30"/>
          <w:highlight w:val="none"/>
          <w:shd w:val="clear" w:fill="FFFF00"/>
          <w:lang w:val="en-US" w:eastAsia="zh-CN" w:bidi="ar"/>
        </w:rPr>
        <w:t>2025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0"/>
          <w:szCs w:val="30"/>
          <w:highlight w:val="none"/>
          <w:shd w:val="clear" w:fill="FFFF00"/>
          <w:lang w:val="en-US" w:eastAsia="zh-CN" w:bidi="ar"/>
        </w:rPr>
        <w:t>年度考核备案盖章</w:t>
      </w:r>
    </w:p>
    <w:p w14:paraId="5BD3B032">
      <w:pPr>
        <w:keepNext w:val="0"/>
        <w:keepLines w:val="0"/>
        <w:widowControl/>
        <w:suppressLineNumbers w:val="0"/>
        <w:shd w:val="clear" w:fill="FFFFFF"/>
        <w:wordWrap/>
        <w:bidi w:val="0"/>
        <w:spacing w:before="0" w:beforeAutospacing="0" w:after="0" w:afterAutospacing="0" w:line="560" w:lineRule="atLeast"/>
        <w:ind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0"/>
          <w:szCs w:val="30"/>
          <w:highlight w:val="none"/>
          <w:shd w:val="clear" w:fill="FFFF00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0"/>
          <w:szCs w:val="30"/>
          <w:highlight w:val="none"/>
          <w:shd w:val="clear" w:fill="FFFF00"/>
          <w:lang w:val="en-US" w:eastAsia="zh-CN" w:bidi="ar"/>
        </w:rPr>
        <w:t>&lt;2&gt;.律师事务所行政人员：体检需携带律师事务所开具的介绍信原件（加盖律师事务所公章）、身份证原件及复印件（A4纸，包含身份证正反面）及乙方的专属体检卡，介绍信原件用于现场核对，复印件用于与体检中心备案留档，专属体检卡乙方现场核对、收回。</w:t>
      </w:r>
    </w:p>
    <w:p w14:paraId="46BCC04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&lt;3&gt;.</w:t>
      </w:r>
      <w:r>
        <w:rPr>
          <w:rFonts w:hint="eastAsia" w:ascii="仿宋" w:hAnsi="仿宋" w:eastAsia="仿宋" w:cs="仿宋"/>
          <w:kern w:val="2"/>
          <w:sz w:val="30"/>
          <w:szCs w:val="30"/>
          <w:highlight w:val="none"/>
          <w:lang w:val="en-US" w:eastAsia="zh-CN" w:bidi="ar-SA"/>
        </w:rPr>
        <w:t>服装</w:t>
      </w:r>
      <w:r>
        <w:rPr>
          <w:rFonts w:hint="eastAsia" w:ascii="仿宋" w:hAnsi="仿宋" w:eastAsia="仿宋" w:cs="仿宋"/>
          <w:b/>
          <w:bCs/>
          <w:kern w:val="2"/>
          <w:sz w:val="30"/>
          <w:szCs w:val="30"/>
          <w:highlight w:val="none"/>
          <w:lang w:val="en-US" w:eastAsia="zh-CN" w:bidi="ar-SA"/>
        </w:rPr>
        <w:t>注意事项：</w:t>
      </w:r>
      <w:r>
        <w:rPr>
          <w:rFonts w:hint="eastAsia" w:ascii="仿宋" w:hAnsi="仿宋" w:eastAsia="仿宋" w:cs="仿宋"/>
          <w:kern w:val="2"/>
          <w:sz w:val="30"/>
          <w:szCs w:val="30"/>
          <w:highlight w:val="none"/>
          <w:lang w:val="en-US" w:eastAsia="zh-CN" w:bidi="ar-SA"/>
        </w:rPr>
        <w:t>体检当天应穿着简单、宽松的衣服，方便检查；避免穿连体衣；</w:t>
      </w:r>
      <w:r>
        <w:rPr>
          <w:rFonts w:hint="default" w:ascii="仿宋" w:hAnsi="仿宋" w:eastAsia="仿宋" w:cs="仿宋"/>
          <w:kern w:val="2"/>
          <w:sz w:val="30"/>
          <w:szCs w:val="30"/>
          <w:highlight w:val="none"/>
          <w:lang w:val="en-US" w:eastAsia="zh-CN" w:bidi="ar-SA"/>
        </w:rPr>
        <w:t>避免穿着带有金属纽扣的衣服，以及带金属托的内衣，</w:t>
      </w:r>
      <w:r>
        <w:rPr>
          <w:rFonts w:hint="eastAsia" w:ascii="仿宋" w:hAnsi="仿宋" w:eastAsia="仿宋" w:cs="仿宋"/>
          <w:kern w:val="2"/>
          <w:sz w:val="30"/>
          <w:szCs w:val="30"/>
          <w:highlight w:val="none"/>
          <w:lang w:val="en-US" w:eastAsia="zh-CN" w:bidi="ar-SA"/>
        </w:rPr>
        <w:t>体检时应避免佩戴隐形眼镜，以免影响视力检测结果。</w:t>
      </w:r>
    </w:p>
    <w:p w14:paraId="687D2974">
      <w:pPr>
        <w:keepNext w:val="0"/>
        <w:keepLines w:val="0"/>
        <w:widowControl/>
        <w:suppressLineNumbers w:val="0"/>
        <w:shd w:val="clear" w:fill="FFFFFF"/>
        <w:wordWrap/>
        <w:bidi w:val="0"/>
        <w:spacing w:before="0" w:beforeAutospacing="0" w:after="0" w:afterAutospacing="0" w:line="560" w:lineRule="atLeast"/>
        <w:ind w:right="0"/>
        <w:jc w:val="left"/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&lt;4&gt;.饮食</w:t>
      </w: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val="en-US" w:eastAsia="zh-CN"/>
        </w:rPr>
        <w:t>注意事项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：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健康检查前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日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建议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您以清淡饮食为主。保证空腹8小时后体检，保证充足睡眠，避免剧烈运动，体检当日请尽量不排晨尿。</w:t>
      </w:r>
    </w:p>
    <w:p w14:paraId="68B195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&lt;5&gt;.</w:t>
      </w: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eastAsia="zh-CN"/>
        </w:rPr>
        <w:t>空腹检查项目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：采血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项目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、腹部彩超、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C14呼气试验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。（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空腹项目检查结束后，方可享用免费营养早餐。）</w:t>
      </w:r>
    </w:p>
    <w:p w14:paraId="7AE7B5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00" w:leftChars="0" w:hanging="300" w:hangingChars="1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&lt;6&gt;.</w:t>
      </w: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eastAsia="zh-CN"/>
        </w:rPr>
        <w:t>憋尿</w:t>
      </w: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val="en-US" w:eastAsia="zh-CN"/>
        </w:rPr>
        <w:t>检查项目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：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女士有经腹妇科超声；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 xml:space="preserve">男士有前列腺彩超；或泌尿系彩超。                  </w:t>
      </w:r>
    </w:p>
    <w:p w14:paraId="49CA4E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00" w:leftChars="0" w:hanging="300" w:hangingChars="100"/>
        <w:textAlignment w:val="auto"/>
        <w:rPr>
          <w:rFonts w:hint="eastAsia" w:ascii="仿宋" w:hAnsi="仿宋" w:eastAsia="仿宋" w:cs="仿宋"/>
          <w:sz w:val="30"/>
          <w:szCs w:val="30"/>
          <w:highlight w:val="yellow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yellow"/>
          <w:lang w:val="en-US" w:eastAsia="zh-CN"/>
        </w:rPr>
        <w:t>（憋尿彩超项目检查结束后，方可留取尿标本。）</w:t>
      </w:r>
    </w:p>
    <w:p w14:paraId="6B1D20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&lt;7&gt;.</w:t>
      </w: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eastAsia="zh-CN"/>
        </w:rPr>
        <w:t>女性</w:t>
      </w: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val="en-US" w:eastAsia="zh-CN"/>
        </w:rPr>
        <w:t>专属项目：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液基薄层细胞学检查（TCT）前一周内勿行阴道冲洗、勿阴道内用药或使用栓剂，前一天勿行房事；受检者月经期间请勿做妇科及尿液检查，待月经干净3天后进行；已怀孕及不能排除妊娠者不做妇科检查、经阴道妇科超声。</w:t>
      </w:r>
    </w:p>
    <w:p w14:paraId="7F62F9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&lt;8&gt;.</w:t>
      </w: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val="en-US" w:eastAsia="zh-CN"/>
        </w:rPr>
        <w:t>放射类项目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：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胸部正位片、CT、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乳腺钼靶、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磁共振等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放射类项目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请将佩戴的金属饰物摘下并妥善保管。</w:t>
      </w:r>
    </w:p>
    <w:p w14:paraId="4DE237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&lt;9&gt;.</w:t>
      </w: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eastAsia="zh-CN"/>
        </w:rPr>
        <w:t>长期服用药物者：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highlight w:val="none"/>
          <w:lang w:val="en-US" w:eastAsia="zh-CN"/>
        </w:rPr>
        <w:t>建议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随身携带所需药品，带空腹抽血后请按常规服药，避免发生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意外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情况，体检时如有不适请立即与体检中心医护人员联系。</w:t>
      </w:r>
    </w:p>
    <w:p w14:paraId="776851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highlight w:val="none"/>
          <w:lang w:val="en-US" w:eastAsia="zh-CN"/>
        </w:rPr>
        <w:t>&lt;10&gt;</w:t>
      </w: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val="en-US" w:eastAsia="zh-CN"/>
        </w:rPr>
        <w:t>.C14/C13呼气试验项目: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highlight w:val="none"/>
          <w:lang w:val="en-US" w:eastAsia="zh-CN"/>
        </w:rPr>
        <w:t>检查前保持空腹或禁食水2小时以上；为确保检测结果的准确性，检测前30天内是否服用抗生素(头孢、阿莫西林、罗红霉素等)、质子泵抑制剂(奥美拉唑、兰索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highlight w:val="none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highlight w:val="none"/>
          <w:lang w:val="en-US" w:eastAsia="zh-CN"/>
        </w:rPr>
        <w:t>拉唑等)、铋制剂(枸橼酸铋钾等)达喜等药物；备孕期、孕期以及哺乳期妇女应避免作此项检查。</w:t>
      </w:r>
    </w:p>
    <w:p w14:paraId="185BB468">
      <w:pPr>
        <w:rPr>
          <w:rFonts w:hint="eastAsia" w:ascii="仿宋" w:hAnsi="仿宋" w:eastAsia="仿宋" w:cs="仿宋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highlight w:val="none"/>
          <w:lang w:val="en-US" w:eastAsia="zh-CN"/>
        </w:rPr>
        <w:br w:type="page"/>
      </w:r>
    </w:p>
    <w:p w14:paraId="05D958F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 w:ascii="宋体" w:hAnsi="宋体"/>
          <w:color w:val="auto"/>
          <w:sz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highlight w:val="none"/>
          <w:lang w:val="en-US" w:eastAsia="zh-CN"/>
        </w:rPr>
        <w:t>套餐项目：</w:t>
      </w:r>
      <w:r>
        <w:rPr>
          <w:rFonts w:hint="eastAsia" w:ascii="宋体" w:hAnsi="宋体"/>
          <w:color w:val="auto"/>
          <w:sz w:val="32"/>
          <w:lang w:val="en-US" w:eastAsia="zh-CN"/>
        </w:rPr>
        <w:t xml:space="preserve">  </w:t>
      </w:r>
      <w:r>
        <w:rPr>
          <w:rFonts w:hint="eastAsia" w:ascii="宋体" w:hAnsi="宋体"/>
          <w:color w:val="auto"/>
          <w:sz w:val="32"/>
          <w:lang w:val="en-US" w:eastAsia="zh-CN"/>
        </w:rPr>
        <w:drawing>
          <wp:inline distT="0" distB="0" distL="114300" distR="114300">
            <wp:extent cx="6435090" cy="8369300"/>
            <wp:effectExtent l="0" t="0" r="3810" b="12700"/>
            <wp:docPr id="8" name="图片 8" descr="7968a24154960f5b1d87d3a54502f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7968a24154960f5b1d87d3a54502fc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3509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B2A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eastAsia" w:ascii="宋体" w:hAnsi="宋体"/>
          <w:color w:val="auto"/>
          <w:sz w:val="32"/>
          <w:lang w:val="en-US" w:eastAsia="zh-CN"/>
        </w:rPr>
      </w:pPr>
      <w:r>
        <w:rPr>
          <w:rFonts w:hint="eastAsia" w:ascii="宋体" w:hAnsi="宋体"/>
          <w:color w:val="auto"/>
          <w:sz w:val="32"/>
          <w:lang w:val="en-US" w:eastAsia="zh-CN"/>
        </w:rPr>
        <w:drawing>
          <wp:inline distT="0" distB="0" distL="114300" distR="114300">
            <wp:extent cx="6282055" cy="9495790"/>
            <wp:effectExtent l="0" t="0" r="4445" b="10160"/>
            <wp:docPr id="10" name="图片 10" descr="e16655734be5589df0ba58b67befb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e16655734be5589df0ba58b67befbd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82055" cy="949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C3C5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 w:ascii="宋体" w:hAnsi="宋体"/>
          <w:color w:val="auto"/>
          <w:sz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highlight w:val="none"/>
          <w:lang w:val="en-US" w:eastAsia="zh-CN"/>
        </w:rPr>
        <w:t xml:space="preserve">自费项目优惠价目表 ：   </w:t>
      </w:r>
      <w:r>
        <w:rPr>
          <w:rFonts w:hint="eastAsia" w:ascii="宋体" w:hAnsi="宋体"/>
          <w:color w:val="auto"/>
          <w:sz w:val="32"/>
          <w:lang w:val="en-US" w:eastAsia="zh-CN"/>
        </w:rPr>
        <w:t xml:space="preserve">                              </w:t>
      </w:r>
      <w:r>
        <w:rPr>
          <w:rFonts w:hint="eastAsia" w:ascii="宋体" w:hAnsi="宋体"/>
          <w:color w:val="auto"/>
          <w:sz w:val="32"/>
          <w:lang w:val="en-US" w:eastAsia="zh-CN"/>
        </w:rPr>
        <w:drawing>
          <wp:inline distT="0" distB="0" distL="114300" distR="114300">
            <wp:extent cx="6195060" cy="7767955"/>
            <wp:effectExtent l="0" t="0" r="15240" b="4445"/>
            <wp:docPr id="5" name="图片 5" descr="dfa39943112b7da4fbb12763ec49d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fa39943112b7da4fbb12763ec49d2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95060" cy="776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color w:val="auto"/>
          <w:sz w:val="32"/>
          <w:lang w:val="en-US" w:eastAsia="zh-CN"/>
        </w:rPr>
        <w:t xml:space="preserve"> </w:t>
      </w:r>
    </w:p>
    <w:p w14:paraId="1939C081">
      <w:pPr>
        <w:tabs>
          <w:tab w:val="left" w:leader="dot" w:pos="7980"/>
        </w:tabs>
        <w:jc w:val="left"/>
        <w:rPr>
          <w:rFonts w:hint="eastAsia" w:ascii="宋体" w:hAnsi="宋体"/>
          <w:color w:val="auto"/>
          <w:sz w:val="24"/>
          <w:lang w:eastAsia="zh-CN"/>
        </w:rPr>
      </w:pPr>
      <w:r>
        <w:rPr>
          <w:rFonts w:hint="eastAsia" w:ascii="宋体" w:hAnsi="宋体"/>
          <w:b/>
          <w:color w:val="auto"/>
          <w:sz w:val="24"/>
          <w:lang w:val="en-US" w:eastAsia="zh-CN"/>
        </w:rPr>
        <w:t>备注：个性化体检加项包，如有需要，请您根据自身情况，选择加项包。</w:t>
      </w:r>
    </w:p>
    <w:p w14:paraId="2C1629CC">
      <w:pPr>
        <w:widowControl w:val="0"/>
        <w:spacing w:line="560" w:lineRule="exact"/>
        <w:ind w:firstLine="960" w:firstLineChars="400"/>
        <w:rPr>
          <w:rFonts w:hint="eastAsia" w:ascii="宋体" w:hAnsi="宋体"/>
          <w:color w:val="auto"/>
          <w:sz w:val="24"/>
          <w:lang w:eastAsia="zh-CN"/>
        </w:rPr>
      </w:pPr>
    </w:p>
    <w:p w14:paraId="5CA1EA14">
      <w:pPr>
        <w:tabs>
          <w:tab w:val="left" w:leader="dot" w:pos="7980"/>
        </w:tabs>
        <w:jc w:val="left"/>
        <w:rPr>
          <w:rFonts w:hint="eastAsia" w:ascii="宋体" w:hAnsi="宋体"/>
          <w:b/>
          <w:color w:val="auto"/>
          <w:sz w:val="24"/>
          <w:lang w:val="en-US" w:eastAsia="zh-CN"/>
        </w:rPr>
      </w:pPr>
      <w:r>
        <w:rPr>
          <w:rFonts w:hint="eastAsia" w:ascii="宋体" w:hAnsi="宋体"/>
          <w:color w:val="auto"/>
          <w:sz w:val="36"/>
          <w:lang w:val="en-US" w:eastAsia="zh-CN"/>
        </w:rPr>
        <w:t xml:space="preserve">                  </w:t>
      </w:r>
      <w:r>
        <w:rPr>
          <w:rFonts w:hint="eastAsia" w:ascii="宋体" w:hAnsi="宋体"/>
          <w:b/>
          <w:color w:val="auto"/>
          <w:sz w:val="24"/>
          <w:lang w:val="en-US" w:eastAsia="zh-CN"/>
        </w:rPr>
        <w:t xml:space="preserve">                            天津康汇医院有限公司</w:t>
      </w:r>
    </w:p>
    <w:p w14:paraId="51E549DE">
      <w:pPr>
        <w:tabs>
          <w:tab w:val="left" w:leader="dot" w:pos="7980"/>
        </w:tabs>
        <w:ind w:firstLine="7228" w:firstLineChars="3000"/>
        <w:jc w:val="left"/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</w:pPr>
      <w:r>
        <w:rPr>
          <w:rFonts w:hint="eastAsia" w:ascii="宋体" w:hAnsi="宋体"/>
          <w:b/>
          <w:color w:val="auto"/>
          <w:sz w:val="24"/>
          <w:lang w:val="en-US" w:eastAsia="zh-CN"/>
        </w:rPr>
        <w:t>2026年8月</w:t>
      </w:r>
    </w:p>
    <w:sectPr>
      <w:pgSz w:w="11906" w:h="16838"/>
      <w:pgMar w:top="873" w:right="896" w:bottom="590" w:left="89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CE7A13F-F60B-43DD-A7B6-3A1B0337A899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2" w:fontKey="{58DDE4FA-2572-474E-9833-663EE84C3317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DF4763"/>
    <w:multiLevelType w:val="singleLevel"/>
    <w:tmpl w:val="E7DF476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5C9E643C"/>
    <w:multiLevelType w:val="multilevel"/>
    <w:tmpl w:val="5C9E643C"/>
    <w:lvl w:ilvl="0" w:tentative="0">
      <w:start w:val="1"/>
      <w:numFmt w:val="chineseCountingThousand"/>
      <w:lvlText w:val="%1、"/>
      <w:lvlJc w:val="left"/>
      <w:pPr>
        <w:ind w:left="632" w:hanging="432"/>
      </w:pPr>
      <w:rPr>
        <w:rFonts w:hint="eastAsia" w:cs="Times New Roman"/>
      </w:rPr>
    </w:lvl>
    <w:lvl w:ilvl="1" w:tentative="0">
      <w:start w:val="1"/>
      <w:numFmt w:val="decimal"/>
      <w:pStyle w:val="7"/>
      <w:isLgl/>
      <w:lvlText w:val="%1.%2 "/>
      <w:lvlJc w:val="left"/>
      <w:pPr>
        <w:ind w:left="776" w:hanging="576"/>
      </w:pPr>
      <w:rPr>
        <w:rFonts w:hint="eastAsia" w:cs="Times New Roman"/>
      </w:rPr>
    </w:lvl>
    <w:lvl w:ilvl="2" w:tentative="0">
      <w:start w:val="1"/>
      <w:numFmt w:val="decimal"/>
      <w:isLgl/>
      <w:lvlText w:val="%1.%2.%3"/>
      <w:lvlJc w:val="left"/>
      <w:pPr>
        <w:ind w:left="920" w:hanging="720"/>
      </w:pPr>
      <w:rPr>
        <w:rFonts w:hint="eastAsia" w:cs="Times New Roman"/>
      </w:rPr>
    </w:lvl>
    <w:lvl w:ilvl="3" w:tentative="0">
      <w:start w:val="1"/>
      <w:numFmt w:val="decimal"/>
      <w:lvlText w:val="%1.%2.%3.%4"/>
      <w:lvlJc w:val="left"/>
      <w:pPr>
        <w:ind w:left="1064" w:hanging="864"/>
      </w:pPr>
      <w:rPr>
        <w:rFonts w:hint="eastAsia" w:cs="Times New Roman"/>
      </w:rPr>
    </w:lvl>
    <w:lvl w:ilvl="4" w:tentative="0">
      <w:start w:val="1"/>
      <w:numFmt w:val="decimal"/>
      <w:lvlText w:val="%1.%2.%3.%4.%5"/>
      <w:lvlJc w:val="left"/>
      <w:pPr>
        <w:ind w:left="1208" w:hanging="1008"/>
      </w:pPr>
      <w:rPr>
        <w:rFonts w:hint="eastAsia" w:cs="Times New Roman"/>
      </w:rPr>
    </w:lvl>
    <w:lvl w:ilvl="5" w:tentative="0">
      <w:start w:val="1"/>
      <w:numFmt w:val="decimal"/>
      <w:lvlText w:val="%1.%2.%3.%4.%5.%6"/>
      <w:lvlJc w:val="left"/>
      <w:pPr>
        <w:ind w:left="1352" w:hanging="1152"/>
      </w:pPr>
      <w:rPr>
        <w:rFonts w:hint="eastAsia" w:cs="Times New Roman"/>
      </w:rPr>
    </w:lvl>
    <w:lvl w:ilvl="6" w:tentative="0">
      <w:start w:val="1"/>
      <w:numFmt w:val="decimal"/>
      <w:lvlText w:val="%1.%2.%3.%4.%5.%6.%7"/>
      <w:lvlJc w:val="left"/>
      <w:pPr>
        <w:ind w:left="1496" w:hanging="1296"/>
      </w:pPr>
      <w:rPr>
        <w:rFonts w:hint="eastAsia" w:cs="Times New Roman"/>
      </w:rPr>
    </w:lvl>
    <w:lvl w:ilvl="7" w:tentative="0">
      <w:start w:val="1"/>
      <w:numFmt w:val="decimal"/>
      <w:lvlText w:val="%1.%2.%3.%4.%5.%6.%7.%8"/>
      <w:lvlJc w:val="left"/>
      <w:pPr>
        <w:ind w:left="1640" w:hanging="1440"/>
      </w:pPr>
      <w:rPr>
        <w:rFonts w:hint="eastAsia" w:cs="Times New Roman"/>
      </w:rPr>
    </w:lvl>
    <w:lvl w:ilvl="8" w:tentative="0">
      <w:start w:val="1"/>
      <w:numFmt w:val="decimal"/>
      <w:lvlText w:val="%1.%2.%3.%4.%5.%6.%7.%8.%9"/>
      <w:lvlJc w:val="left"/>
      <w:pPr>
        <w:ind w:left="1784" w:hanging="1584"/>
      </w:pPr>
      <w:rPr>
        <w:rFonts w:hint="eastAsia"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FC7502"/>
    <w:rsid w:val="01A35A06"/>
    <w:rsid w:val="02B313FF"/>
    <w:rsid w:val="038F0263"/>
    <w:rsid w:val="056561AE"/>
    <w:rsid w:val="082A5712"/>
    <w:rsid w:val="08F0265B"/>
    <w:rsid w:val="09F513AA"/>
    <w:rsid w:val="09F72CEE"/>
    <w:rsid w:val="0B2D0DCA"/>
    <w:rsid w:val="0B626EBA"/>
    <w:rsid w:val="127B67E6"/>
    <w:rsid w:val="12F627A9"/>
    <w:rsid w:val="131147EB"/>
    <w:rsid w:val="135B5C75"/>
    <w:rsid w:val="14942AB5"/>
    <w:rsid w:val="156477E3"/>
    <w:rsid w:val="157E709D"/>
    <w:rsid w:val="16D7689F"/>
    <w:rsid w:val="17E914BF"/>
    <w:rsid w:val="1956257C"/>
    <w:rsid w:val="19CA1788"/>
    <w:rsid w:val="1A7C0C57"/>
    <w:rsid w:val="1B6D3582"/>
    <w:rsid w:val="1B750C43"/>
    <w:rsid w:val="1BBD5222"/>
    <w:rsid w:val="1C621165"/>
    <w:rsid w:val="21EA5760"/>
    <w:rsid w:val="22F721C0"/>
    <w:rsid w:val="22FC75B2"/>
    <w:rsid w:val="26C50B1E"/>
    <w:rsid w:val="27FD5021"/>
    <w:rsid w:val="2A031F51"/>
    <w:rsid w:val="2A773BC2"/>
    <w:rsid w:val="2AE40E6C"/>
    <w:rsid w:val="2F9D3CD8"/>
    <w:rsid w:val="2FD71C09"/>
    <w:rsid w:val="309B68D7"/>
    <w:rsid w:val="317C288D"/>
    <w:rsid w:val="343314A1"/>
    <w:rsid w:val="350D2D72"/>
    <w:rsid w:val="35D30C5A"/>
    <w:rsid w:val="39917D1C"/>
    <w:rsid w:val="39AC16B9"/>
    <w:rsid w:val="3A7A32B7"/>
    <w:rsid w:val="3A867F0C"/>
    <w:rsid w:val="3B291D9C"/>
    <w:rsid w:val="3CAC022B"/>
    <w:rsid w:val="3CB16C80"/>
    <w:rsid w:val="3D1406B6"/>
    <w:rsid w:val="3D930D49"/>
    <w:rsid w:val="41DE724A"/>
    <w:rsid w:val="44034269"/>
    <w:rsid w:val="45F024EE"/>
    <w:rsid w:val="46361369"/>
    <w:rsid w:val="47522851"/>
    <w:rsid w:val="4A394D34"/>
    <w:rsid w:val="4AC634B9"/>
    <w:rsid w:val="4C286E40"/>
    <w:rsid w:val="4F5948A6"/>
    <w:rsid w:val="4F651131"/>
    <w:rsid w:val="508329BB"/>
    <w:rsid w:val="50F94B9F"/>
    <w:rsid w:val="5201085F"/>
    <w:rsid w:val="539A3E5F"/>
    <w:rsid w:val="54613ADC"/>
    <w:rsid w:val="54BF1A28"/>
    <w:rsid w:val="56322C82"/>
    <w:rsid w:val="58780B41"/>
    <w:rsid w:val="5BDF5B2C"/>
    <w:rsid w:val="5E604F8B"/>
    <w:rsid w:val="617A071E"/>
    <w:rsid w:val="618F5A09"/>
    <w:rsid w:val="636B096F"/>
    <w:rsid w:val="63B470C0"/>
    <w:rsid w:val="68164D6E"/>
    <w:rsid w:val="69B25CFD"/>
    <w:rsid w:val="69FC7091"/>
    <w:rsid w:val="6B2F39B5"/>
    <w:rsid w:val="6C054F8B"/>
    <w:rsid w:val="6D151A83"/>
    <w:rsid w:val="709B4DAB"/>
    <w:rsid w:val="71F90597"/>
    <w:rsid w:val="74143FCA"/>
    <w:rsid w:val="77BD6C1E"/>
    <w:rsid w:val="78BA682D"/>
    <w:rsid w:val="79A74795"/>
    <w:rsid w:val="79F05967"/>
    <w:rsid w:val="7AA57C46"/>
    <w:rsid w:val="7B116F75"/>
    <w:rsid w:val="7CE44FC7"/>
    <w:rsid w:val="7DE74AD0"/>
    <w:rsid w:val="7E7E5C4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6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九华2"/>
    <w:basedOn w:val="2"/>
    <w:next w:val="1"/>
    <w:qFormat/>
    <w:uiPriority w:val="0"/>
    <w:pPr>
      <w:numPr>
        <w:ilvl w:val="1"/>
        <w:numId w:val="1"/>
      </w:numPr>
      <w:spacing w:before="0" w:after="0" w:line="360" w:lineRule="auto"/>
    </w:pPr>
    <w:rPr>
      <w:rFonts w:ascii="Cambria" w:hAnsi="Cambria" w:eastAsia="宋体" w:cs="Times New Roman"/>
      <w:kern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1287</Words>
  <Characters>1404</Characters>
  <Paragraphs>15</Paragraphs>
  <TotalTime>19</TotalTime>
  <ScaleCrop>false</ScaleCrop>
  <LinksUpToDate>false</LinksUpToDate>
  <CharactersWithSpaces>1604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2024-05-06T00:42:00Z</dcterms:created>
  <dc:creator>M2012K11AC</dc:creator>
  <cp:lastModifiedBy>会员部</cp:lastModifiedBy>
  <dcterms:modified xsi:type="dcterms:W3CDTF">2026-08-12T03:16:57Z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aa23ac20772e4c859d08e3605b910ee1_21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eyJoZGlkIjoiZWVkMDEyNzNlNDc1NTQ2M2Y1MzA2MTJiMTFmNTg2ZTkiLCJ1c2VySWQiOiIxNzE4MjMzNjk5In0=</vt:lpwstr>
  </property>
</Properties>
</file>